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14:paraId="32675124">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exact" w:line="600"/>
        <w:jc w:val="center"/>
        <w:textAlignment w:val="auto"/>
        <w:outlineLvl w:val="9"/>
        <w:rPr>
          <w:rFonts w:ascii="宋体" w:cs="宋体" w:eastAsia="宋体" w:hAnsi="宋体" w:hint="eastAsia"/>
          <w:b/>
          <w:bCs/>
          <w:sz w:val="44"/>
          <w:szCs w:val="44"/>
          <w:lang w:val="en-US" w:eastAsia="zh-CN"/>
        </w:rPr>
      </w:pPr>
      <w:bookmarkStart w:id="0" w:name="_GoBack"/>
      <w:bookmarkEnd w:id="0"/>
      <w:r>
        <w:rPr>
          <w:rFonts w:ascii="宋体" w:cs="宋体" w:eastAsia="宋体" w:hAnsi="宋体" w:hint="default"/>
          <w:b/>
          <w:bCs/>
          <w:sz w:val="44"/>
          <w:szCs w:val="44"/>
          <w:lang w:val="en-US" w:eastAsia="zh-CN"/>
        </w:rPr>
        <w:t>起诉状</w:t>
      </w:r>
    </w:p>
    <w:p w14:paraId="BCAE869E">
      <w:pPr>
        <w:pStyle w:val="style0"/>
        <w:kinsoku w:val="false"/>
        <w:autoSpaceDE w:val="false"/>
        <w:autoSpaceDN w:val="false"/>
        <w:adjustRightInd w:val="false"/>
        <w:snapToGrid w:val="false"/>
        <w:spacing w:before="103" w:lineRule="auto" w:line="175"/>
        <w:jc w:val="left"/>
        <w:textAlignment w:val="baseline"/>
        <w:rPr>
          <w:rFonts w:ascii="仿宋_GB2312" w:cs="仿宋_GB2312" w:eastAsia="仿宋_GB2312" w:hAnsi="仿宋_GB2312" w:hint="eastAsia"/>
          <w:b/>
          <w:bCs/>
          <w:sz w:val="24"/>
          <w:szCs w:val="24"/>
        </w:rPr>
      </w:pPr>
    </w:p>
    <w:p w14:paraId="105FFA9E">
      <w:pPr>
        <w:pStyle w:val="style0"/>
        <w:kinsoku w:val="false"/>
        <w:autoSpaceDE w:val="false"/>
        <w:autoSpaceDN w:val="false"/>
        <w:adjustRightInd w:val="false"/>
        <w:snapToGrid w:val="false"/>
        <w:spacing w:before="103" w:lineRule="auto" w:line="175"/>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仿宋_GB2312" w:cs="仿宋_GB2312" w:eastAsia="仿宋_GB2312" w:hAnsi="仿宋_GB2312" w:hint="default"/>
          <w:b/>
          <w:bCs/>
          <w:sz w:val="24"/>
          <w:szCs w:val="24"/>
          <w:lang w:val="en-US"/>
        </w:rPr>
        <w:t>起诉</w:t>
      </w:r>
      <w:r>
        <w:rPr>
          <w:rFonts w:ascii="仿宋_GB2312" w:cs="仿宋_GB2312" w:eastAsia="仿宋_GB2312" w:hAnsi="仿宋_GB2312" w:hint="eastAsia"/>
          <w:b/>
          <w:bCs/>
          <w:sz w:val="24"/>
          <w:szCs w:val="24"/>
        </w:rPr>
        <w:t>人</w:t>
      </w:r>
      <w:r>
        <w:rPr>
          <w:rFonts w:ascii="仿宋_GB2312" w:cs="仿宋_GB2312" w:eastAsia="仿宋_GB2312" w:hAnsi="仿宋_GB2312" w:hint="default"/>
          <w:b/>
          <w:bCs/>
          <w:sz w:val="24"/>
          <w:szCs w:val="24"/>
          <w:lang w:val="en-US"/>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何义军, 男, 汉族, </w:t>
      </w:r>
      <w:r>
        <w:rPr>
          <w:rFonts w:ascii="宋体" w:cs="Microsoft YaHei" w:eastAsia="宋体" w:hAnsi="Microsoft YaHei" w:hint="default"/>
          <w:b w:val="false"/>
          <w:bCs w:val="false"/>
          <w:i w:val="false"/>
          <w:iCs w:val="false"/>
          <w:noProof/>
          <w:snapToGrid w:val="false"/>
          <w:color w:val="000000"/>
          <w:spacing w:val="-13"/>
          <w:kern w:val="0"/>
          <w:sz w:val="24"/>
          <w:szCs w:val="24"/>
          <w:highlight w:val="none"/>
          <w:vertAlign w:val="baseline"/>
          <w:em w:val="none"/>
          <w:lang w:val="en-US" w:bidi="ar-SA" w:eastAsia="en-US"/>
        </w:rPr>
        <w:t>公民身份号431126198402221233,</w:t>
      </w:r>
    </w:p>
    <w:p w14:paraId="714E5E51">
      <w:pPr>
        <w:pStyle w:val="style0"/>
        <w:kinsoku w:val="false"/>
        <w:autoSpaceDE w:val="false"/>
        <w:autoSpaceDN w:val="false"/>
        <w:adjustRightInd w:val="false"/>
        <w:snapToGrid w:val="false"/>
        <w:spacing w:before="103" w:lineRule="auto" w:line="175"/>
        <w:ind w:left="840" w:leftChars="0"/>
        <w:jc w:val="left"/>
        <w:textAlignment w:val="baseline"/>
        <w:rPr>
          <w:sz w:val="24"/>
          <w:szCs w:val="24"/>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住四川省成都市高新区天府大道北段18号附10号,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电话19250199051。</w:t>
      </w:r>
    </w:p>
    <w:p w14:paraId="82E7DF56">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被起诉人</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中国人民银行, 北京市西城区成方街32号(邮编100800), 电话010-66194114</w:t>
      </w:r>
    </w:p>
    <w:p w14:paraId="EF3E347D">
      <w:pPr>
        <w:pStyle w:val="style0"/>
        <w:kinsoku w:val="false"/>
        <w:autoSpaceDE w:val="false"/>
        <w:autoSpaceDN w:val="false"/>
        <w:adjustRightInd w:val="false"/>
        <w:snapToGrid w:val="false"/>
        <w:spacing w:before="103" w:lineRule="auto" w:line="180"/>
        <w:ind w:left="84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法定代表人:潘功胜, 统一社会信用代码: 111000000000132071</w:t>
      </w:r>
    </w:p>
    <w:p w14:paraId="7F8B7047">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名词简写及解释:</w:t>
      </w:r>
    </w:p>
    <w:p w14:paraId="DE8D3049">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人行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又简称"人民银行", 全称"中国人民银行"。中华人民共和国核心组织之一。</w:t>
      </w:r>
    </w:p>
    <w:p w14:paraId="1AF23B8E">
      <w:pPr>
        <w:pStyle w:val="style0"/>
        <w:kinsoku w:val="false"/>
        <w:autoSpaceDE w:val="false"/>
        <w:autoSpaceDN w:val="false"/>
        <w:adjustRightInd w:val="false"/>
        <w:snapToGrid w:val="false"/>
        <w:spacing w:before="103" w:lineRule="auto" w:line="180"/>
        <w:ind w:left="210" w:leftChars="0"/>
        <w:jc w:val="left"/>
        <w:textAlignment w:val="baseline"/>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Calibri" w:cs="Times New Roman" w:eastAsia="宋体" w:hAnsi="Calibri" w:hint="default"/>
          <w:b/>
          <w:bCs/>
          <w:i w:val="false"/>
          <w:iCs w:val="false"/>
          <w:color w:val="auto"/>
          <w:kern w:val="2"/>
          <w:sz w:val="24"/>
          <w:szCs w:val="24"/>
          <w:highlight w:val="none"/>
          <w:vertAlign w:val="baseline"/>
          <w:em w:val="none"/>
          <w:lang w:val="en-US" w:bidi="ar-SA" w:eastAsia="zh-CN"/>
        </w:rPr>
        <w:t xml:space="preserve">   国金认证</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全称"北京国家金融科技认证中心有限公司"</w:t>
      </w:r>
      <w:r>
        <w:rPr>
          <w:rFonts w:ascii="Calibri" w:cs="Times New Roman" w:hAnsi="Calibri" w:hint="default"/>
          <w:b w:val="false"/>
          <w:bCs w:val="false"/>
          <w:i w:val="false"/>
          <w:iCs w:val="false"/>
          <w:color w:val="auto"/>
          <w:kern w:val="2"/>
          <w:sz w:val="24"/>
          <w:szCs w:val="24"/>
          <w:highlight w:val="none"/>
          <w:vertAlign w:val="baseline"/>
          <w:em w:val="none"/>
          <w:lang w:val="en-US" w:bidi="ar-SA" w:eastAsia="zh-CN"/>
        </w:rPr>
        <w:t>，</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国家级第三方合格评定机构。</w:t>
      </w:r>
    </w:p>
    <w:p w14:paraId="D87BE588">
      <w:pPr>
        <w:pStyle w:val="style0"/>
        <w:kinsoku w:val="false"/>
        <w:autoSpaceDE w:val="false"/>
        <w:autoSpaceDN w:val="false"/>
        <w:adjustRightInd w:val="false"/>
        <w:snapToGrid w:val="false"/>
        <w:spacing w:before="103" w:lineRule="auto" w:line="180"/>
        <w:ind w:left="168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人行通过"中国金融电子化公司的"全资控股子公司(国家企业信用查验)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p>
    <w:p w14:paraId="0FA279A1">
      <w:pPr>
        <w:pStyle w:val="style0"/>
        <w:adjustRightInd/>
        <w:snapToGrid/>
        <w:spacing w:lineRule="auto" w:line="240"/>
        <w:ind w:left="21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微信支付</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又简称"财付通", 全称"</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财付通支付科技有限公司", 腾讯系子公司。</w:t>
      </w:r>
    </w:p>
    <w:p w14:paraId="5EE4AA3A">
      <w:pPr>
        <w:pStyle w:val="style0"/>
        <w:kinsoku w:val="false"/>
        <w:autoSpaceDE w:val="false"/>
        <w:autoSpaceDN w:val="false"/>
        <w:adjustRightInd w:val="false"/>
        <w:snapToGrid w:val="false"/>
        <w:spacing w:lineRule="exact" w:line="260"/>
        <w:jc w:val="left"/>
        <w:textAlignment w:val="baseline"/>
        <w:rPr/>
      </w:pPr>
      <w:r>
        <w:rPr>
          <w:rFonts w:ascii="宋体" w:cs="Arial" w:eastAsia="宋体" w:hAnsi="宋体" w:hint="default"/>
          <w:b/>
          <w:bCs/>
          <w:i w:val="false"/>
          <w:iCs w:val="false"/>
          <w:noProof/>
          <w:snapToGrid w:val="false"/>
          <w:color w:val="36363d"/>
          <w:kern w:val="0"/>
          <w:sz w:val="24"/>
          <w:szCs w:val="24"/>
          <w:highlight w:val="none"/>
          <w:vertAlign w:val="baseline"/>
          <w:em w:val="none"/>
          <w:lang w:val="en-US" w:eastAsia="en-US"/>
        </w:rPr>
        <w:t xml:space="preserve"> 诉微信支付案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"何义军</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原告)"于2025年6月30日,</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起诉</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"财付通(被告)"违约违法,</w:t>
      </w:r>
    </w:p>
    <w:p w14:paraId="618AEA26">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u w:val="non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故意侵占财产,</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造成并扩大致其损失巨大</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的案例,</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p>
    <w:p w14:paraId="DB3DA05E">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由"深圳前海合作区人民法院</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"于同年7月30日立案</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p>
    <w:p w14:paraId="3D171E2B">
      <w:pPr>
        <w:pStyle w:val="style0"/>
        <w:kinsoku w:val="false"/>
        <w:autoSpaceDE w:val="false"/>
        <w:autoSpaceDN w:val="false"/>
        <w:adjustRightInd w:val="false"/>
        <w:snapToGrid w:val="false"/>
        <w:spacing w:lineRule="exact" w:line="260"/>
        <w:ind w:left="1470" w:leftChars="0"/>
        <w:jc w:val="left"/>
        <w:textAlignment w:val="baseline"/>
        <w:rPr>
          <w:rFonts w:ascii="仿宋_GB2312" w:cs="仿宋_GB2312" w:eastAsia="仿宋_GB2312" w:hAnsi="仿宋_GB2312" w:hint="eastAsia"/>
          <w:b w:val="false"/>
          <w:bCs w:val="false"/>
          <w:sz w:val="24"/>
          <w:szCs w:val="24"/>
          <w:lang w:val="en-US" w:eastAsia="zh-CN"/>
        </w:rPr>
      </w:pP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 xml:space="preserve">  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由"</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网络服务合同纠纷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编号"</w:t>
      </w:r>
      <w:r>
        <w:rPr>
          <w:rFonts w:ascii="宋体" w:cs="Arial" w:eastAsia="宋体" w:hAnsi="宋体" w:hint="default"/>
          <w:b/>
          <w:bCs/>
          <w:i w:val="false"/>
          <w:iCs w:val="false"/>
          <w:noProof/>
          <w:snapToGrid w:val="false"/>
          <w:color w:val="36363d"/>
          <w:kern w:val="0"/>
          <w:sz w:val="24"/>
          <w:szCs w:val="24"/>
          <w:highlight w:val="none"/>
          <w:u w:val="single" w:color="auto"/>
          <w:vertAlign w:val="baseline"/>
          <w:em w:val="none"/>
          <w:lang w:val="en-US" w:eastAsia="en-US"/>
        </w:rPr>
        <w:t>(2025)粤0391民初8980号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p>
    <w:p w14:paraId="67E29020">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总结:</w:t>
      </w:r>
    </w:p>
    <w:p w14:paraId="F3836F25">
      <w:pPr>
        <w:pStyle w:val="style0"/>
        <w:adjustRightInd/>
        <w:snapToGrid/>
        <w:spacing w:lineRule="auto" w:line="240"/>
        <w:jc w:val="both"/>
        <w:outlineLvl w:val="9"/>
        <w:rPr/>
      </w:pPr>
      <w:r>
        <w:rPr>
          <w:rFonts w:ascii="黑体" w:cs="黑体" w:eastAsia="黑体" w:hAnsi="黑体" w:hint="default"/>
          <w:b/>
          <w:bCs/>
          <w:i w:val="false"/>
          <w:iCs w:val="false"/>
          <w:color w:val="auto"/>
          <w:kern w:val="2"/>
          <w:sz w:val="24"/>
          <w:szCs w:val="24"/>
          <w:highlight w:val="none"/>
          <w:vertAlign w:val="baseline"/>
          <w:em w:val="none"/>
          <w:lang w:val="en-US" w:bidi="ar-SA" w:eastAsia="zh-CN"/>
        </w:rPr>
        <w:t>中国人民银行违法颁发支付业务许可证(I级)刑事渎职、行政误作为、民事侵占原告权利</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F14E2DAA">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r>
        <w:rPr>
          <w:rFonts w:ascii="黑体" w:cs="黑体" w:eastAsia="黑体" w:hAnsi="黑体" w:hint="default"/>
          <w:b/>
          <w:bCs/>
          <w:i w:val="false"/>
          <w:iCs w:val="false"/>
          <w:color w:val="auto"/>
          <w:kern w:val="2"/>
          <w:sz w:val="24"/>
          <w:szCs w:val="24"/>
          <w:highlight w:val="none"/>
          <w:vertAlign w:val="baseline"/>
          <w:em w:val="none"/>
          <w:lang w:val="en-US" w:bidi="ar-SA" w:eastAsia="zh-CN"/>
        </w:rPr>
        <w:t>在全国范围造成重大影响、侵占民众的私有财产。</w:t>
      </w:r>
      <w:r>
        <w:rPr>
          <w:rFonts w:ascii="黑体" w:cs="黑体" w:eastAsia="黑体" w:hAnsi="黑体" w:hint="default"/>
          <w:b/>
          <w:bCs/>
          <w:i w:val="false"/>
          <w:iCs w:val="false"/>
          <w:color w:val="auto"/>
          <w:kern w:val="2"/>
          <w:sz w:val="24"/>
          <w:szCs w:val="24"/>
          <w:highlight w:val="none"/>
          <w:u w:val="single" w:color="auto"/>
          <w:vertAlign w:val="baseline"/>
          <w:em w:val="none"/>
          <w:lang w:val="en-US" w:bidi="ar-SA" w:eastAsia="zh-CN"/>
        </w:rPr>
        <w:t>为防止"一鉴定就合格"而"用户一用就千奇百怪"，鉴定必须</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基于"终端用户"的真实证据</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即使，腾讯系不操纵检测鉴定、司法公正、社会和国家秩序，</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也不排除其竞争对手操纵；何况，"</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bidi="ar-SA" w:eastAsia="en-US"/>
        </w:rPr>
        <w:t>诉微信支付案</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"有足够的"已提交证据和未提交的经验事实"证实，腾讯有这类记录。</w:t>
      </w:r>
    </w:p>
    <w:p w14:paraId="14F6FE6E">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p>
    <w:p w14:paraId="94C2EA7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黑体" w:cs="黑体" w:eastAsia="黑体" w:hAnsi="黑体" w:hint="default"/>
          <w:b w:val="false"/>
          <w:bCs w:val="false"/>
          <w:sz w:val="24"/>
          <w:szCs w:val="24"/>
          <w:u w:val="none"/>
          <w:lang w:val="en-US" w:eastAsia="zh-CN"/>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起诉请求</w:t>
      </w:r>
      <w:r>
        <w:rPr>
          <w:rFonts w:ascii="黑体" w:cs="黑体" w:eastAsia="黑体" w:hAnsi="黑体" w:hint="eastAsia"/>
          <w:b w:val="false"/>
          <w:bCs w:val="false"/>
          <w:sz w:val="24"/>
          <w:szCs w:val="24"/>
          <w:u w:val="none"/>
          <w:lang w:val="en-US" w:eastAsia="zh-CN"/>
        </w:rPr>
        <w:t>：</w:t>
      </w:r>
    </w:p>
    <w:p w14:paraId="3CFADC60">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bCs/>
          <w:sz w:val="24"/>
          <w:szCs w:val="24"/>
          <w:u w:val="none"/>
          <w:lang w:val="en-US" w:eastAsia="zh-CN"/>
        </w:rPr>
        <w:t>确认"国金认证"于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2024-04-15</w:t>
      </w:r>
      <w:r>
        <w:rPr>
          <w:rFonts w:ascii="黑体" w:cs="黑体" w:eastAsia="黑体" w:hAnsi="黑体" w:hint="default"/>
          <w:b/>
          <w:bCs/>
          <w:sz w:val="24"/>
          <w:szCs w:val="24"/>
          <w:u w:val="none"/>
          <w:lang w:val="en-US" w:eastAsia="zh-CN"/>
        </w:rPr>
        <w:t>颁发"注册号:CFNR201901440574"的"非银行支付机构支付业务设施技术认证（一级)"</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不符合现行新国家标准、违法违规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。因为:</w:t>
      </w:r>
    </w:p>
    <w:p w14:paraId="758EE91B">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single"/>
          <w:lang w:val="en-US" w:eastAsia="zh-CN"/>
        </w:rPr>
        <w:t>其认证"</w:t>
      </w:r>
      <w:r>
        <w:rPr>
          <w:rFonts w:ascii="黑体" w:cs="黑体" w:eastAsia="黑体" w:hAnsi="黑体" w:hint="default"/>
          <w:b/>
          <w:bCs/>
          <w:sz w:val="24"/>
          <w:szCs w:val="24"/>
          <w:u w:val="single"/>
          <w:lang w:val="en-US" w:eastAsia="zh-CN"/>
        </w:rPr>
        <w:t>过程不公正</w:t>
      </w:r>
      <w:r>
        <w:rPr>
          <w:rFonts w:ascii="黑体" w:cs="黑体" w:eastAsia="黑体" w:hAnsi="黑体" w:hint="default"/>
          <w:b w:val="false"/>
          <w:bCs w:val="false"/>
          <w:sz w:val="24"/>
          <w:szCs w:val="24"/>
          <w:u w:val="single"/>
          <w:lang w:val="en-US" w:eastAsia="zh-CN"/>
        </w:rPr>
        <w:t xml:space="preserve">": </w:t>
      </w:r>
      <w:r>
        <w:rPr>
          <w:rFonts w:ascii="黑体" w:cs="黑体" w:eastAsia="黑体" w:hAnsi="黑体" w:hint="default"/>
          <w:b/>
          <w:bCs/>
          <w:sz w:val="24"/>
          <w:szCs w:val="24"/>
          <w:u w:val="single"/>
          <w:lang w:val="en-US" w:eastAsia="zh-CN"/>
        </w:rPr>
        <w:t>依据标准</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错误</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非</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2022版"国家标准</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GB/T41460-2022)</w:t>
      </w:r>
      <w:r>
        <w:rPr>
          <w:rFonts w:ascii="黑体" w:cs="黑体" w:eastAsia="黑体" w:hAnsi="黑体" w:hint="default"/>
          <w:b w:val="false"/>
          <w:bCs w:val="false"/>
          <w:sz w:val="24"/>
          <w:szCs w:val="24"/>
          <w:u w:val="none"/>
          <w:lang w:val="en-US" w:eastAsia="zh-CN"/>
        </w:rPr>
        <w:t>。</w:t>
      </w:r>
    </w:p>
    <w:p w14:paraId="3CE87444">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黑体" w:cs="黑体" w:eastAsia="黑体" w:hAnsi="黑体" w:hint="default"/>
          <w:b/>
          <w:bCs/>
          <w:sz w:val="24"/>
          <w:szCs w:val="24"/>
          <w:u w:val="none"/>
          <w:lang w:val="en-US" w:eastAsia="zh-CN"/>
        </w:rPr>
      </w:pP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其认证"</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结果不公正</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合格"的"支付业务设施"上,出现不合规终端记录(</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证据1"证实)。</w:t>
      </w:r>
    </w:p>
    <w:p w14:paraId="8E0972D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none"/>
          <w:lang w:val="en-US" w:eastAsia="zh-CN"/>
        </w:rPr>
        <w:t>确认"人行"于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2025-05-16</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黑体" w:cs="黑体" w:eastAsia="黑体" w:hAnsi="黑体" w:hint="default"/>
          <w:b w:val="false"/>
          <w:bCs w:val="false"/>
          <w:sz w:val="24"/>
          <w:szCs w:val="24"/>
          <w:u w:val="none"/>
          <w:lang w:val="en-US" w:eastAsia="zh-CN"/>
        </w:rPr>
        <w:t>"支付业务许可证"，违法违规，没有依据合规有效的"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非银行支付机构支付业务设施技术认证（一级)"。</w:t>
      </w:r>
    </w:p>
    <w:p w14:paraId="7474E589">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由人行依法自主决定</w:t>
      </w:r>
      <w:r>
        <w:rPr>
          <w:rFonts w:ascii="黑体" w:cs="黑体" w:eastAsia="黑体" w:hAnsi="黑体" w:hint="default"/>
          <w:b w:val="false"/>
          <w:bCs w:val="false"/>
          <w:sz w:val="24"/>
          <w:szCs w:val="24"/>
          <w:u w:val="none"/>
          <w:lang w:val="en-US" w:eastAsia="zh-CN"/>
        </w:rPr>
        <w:t>处理"</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编号:Z2000444000013"的"支付业务许可证"</w:t>
      </w:r>
      <w:r>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t>与"注册号:CFNR201901440574"的"非银行支付机构支付业务设施技术认证（一级)"</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1CE07A8C">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none"/>
          <w:lang w:val="en-US" w:eastAsia="zh-CN"/>
        </w:rPr>
        <w:t>人行对造成原告的损害，支付原告赔偿金</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50242500元人民币。</w:t>
      </w:r>
    </w:p>
    <w:p w14:paraId="984CCBC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宋体" w:cs="Times New Roman" w:eastAsia="宋体" w:hAnsi="Times New Roman" w:hint="default"/>
          <w:sz w:val="24"/>
          <w:szCs w:val="24"/>
          <w:u w:val="none"/>
          <w:lang w:val="en-US" w:eastAsia="zh-CN"/>
        </w:rPr>
      </w:pPr>
      <w:r>
        <w:rPr>
          <w:rFonts w:ascii="宋体" w:cs="Times New Roman" w:eastAsia="宋体" w:hAnsi="Times New Roman" w:hint="default"/>
          <w:sz w:val="24"/>
          <w:szCs w:val="24"/>
          <w:u w:val="none"/>
          <w:lang w:val="en-US" w:eastAsia="zh-CN"/>
        </w:rPr>
        <w:t>由有关国家机关对人行的错误行政许可行为，提起公益行政诉讼、并公开听证。</w:t>
      </w:r>
    </w:p>
    <w:p w14:paraId="D5A1C04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宋体" w:cs="仿宋_GB2312" w:eastAsia="宋体" w:hAnsi="宋体" w:hint="default"/>
          <w:b/>
          <w:bCs/>
          <w:i w:val="false"/>
          <w:iCs w:val="false"/>
          <w:color w:val="auto"/>
          <w:kern w:val="2"/>
          <w:sz w:val="24"/>
          <w:szCs w:val="24"/>
          <w:highlight w:val="none"/>
          <w:vertAlign w:val="baseline"/>
          <w:em w:val="none"/>
          <w:lang w:val="en-US" w:bidi="ar-SA" w:eastAsia="zh-CN"/>
        </w:rPr>
      </w:pPr>
      <w:r>
        <w:rPr>
          <w:rFonts w:ascii="宋体" w:cs="黑体" w:eastAsia="宋体" w:hAnsi="宋体" w:hint="default"/>
          <w:b w:val="false"/>
          <w:bCs w:val="false"/>
          <w:sz w:val="24"/>
          <w:szCs w:val="24"/>
          <w:u w:val="none"/>
          <w:lang w:val="en-US" w:eastAsia="zh-CN"/>
        </w:rPr>
        <w:t>按照国家法规依法公开本案</w:t>
      </w:r>
      <w:r>
        <w:rPr>
          <w:rFonts w:ascii="宋体" w:cs="黑体" w:hAnsi="宋体" w:hint="default"/>
          <w:b w:val="false"/>
          <w:bCs w:val="false"/>
          <w:sz w:val="24"/>
          <w:szCs w:val="24"/>
          <w:u w:val="none"/>
          <w:lang w:val="en-US" w:eastAsia="zh-CN"/>
        </w:rPr>
        <w:t>，对因违法违规颁发许可而被侵占权利或造成损失的有关人员、法人、组织，</w:t>
      </w:r>
      <w:r>
        <w:rPr>
          <w:rFonts w:ascii="宋体" w:cs="Times New Roman" w:eastAsia="宋体" w:hAnsi="Times New Roman" w:hint="default"/>
          <w:sz w:val="24"/>
          <w:szCs w:val="24"/>
          <w:u w:val="none"/>
          <w:lang w:val="en-US" w:eastAsia="zh-CN"/>
        </w:rPr>
        <w:t>给予行政补偿、赔偿</w:t>
      </w:r>
      <w:r>
        <w:rPr>
          <w:rFonts w:ascii="宋体" w:cs="仿宋_GB2312" w:eastAsia="宋体" w:hAnsi="仿宋_GB2312" w:hint="eastAsia"/>
          <w:sz w:val="24"/>
          <w:szCs w:val="24"/>
          <w:u w:val="none"/>
          <w:lang w:val="en-US" w:eastAsia="zh-CN"/>
        </w:rPr>
        <w:t>。</w:t>
      </w:r>
    </w:p>
    <w:p w14:paraId="41C7596B">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bCs/>
          <w:i w:val="false"/>
          <w:iCs w:val="false"/>
          <w:color w:val="auto"/>
          <w:kern w:val="2"/>
          <w:sz w:val="24"/>
          <w:szCs w:val="24"/>
          <w:highlight w:val="none"/>
          <w:vertAlign w:val="baseline"/>
          <w:em w:val="none"/>
          <w:lang w:val="en-US" w:bidi="ar-SA" w:eastAsia="zh-CN"/>
        </w:rPr>
        <w:t>适用以下有关法律法条款项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w:t>
      </w:r>
    </w:p>
    <w:p w14:paraId="CCF6BAFE">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color="auto"/>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color="auto"/>
          <w:vertAlign w:val="baseline"/>
          <w:em w:val="none"/>
          <w:lang w:val="en-US" w:bidi="ar-SA" w:eastAsia="zh-CN"/>
        </w:rPr>
        <w:t>《中华人民共和国宪法》</w:t>
      </w:r>
    </w:p>
    <w:p w14:paraId="36E42074">
      <w:pPr>
        <w:pStyle w:val="style0"/>
        <w:adjustRightInd/>
        <w:snapToGrid/>
        <w:spacing w:lineRule="auto" w:line="240"/>
        <w:ind w:left="210" w:leftChars="0"/>
        <w:jc w:val="both"/>
        <w:outlineLvl w:val="9"/>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第十三条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"公民的合法的私有财产不受侵犯"。"诉微信支付案"的"微信支付"</w:t>
      </w:r>
      <w:r>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t>，</w:t>
      </w:r>
    </w:p>
    <w:p w14:paraId="88BE5170">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事实侵占原告的合法私有财产长达200天以上，人行违法违规颁发支付许可证有责。</w:t>
      </w:r>
    </w:p>
    <w:p w14:paraId="81319393">
      <w:pPr>
        <w:pStyle w:val="style0"/>
        <w:adjustRightInd/>
        <w:snapToGrid/>
        <w:spacing w:lineRule="auto" w:line="240"/>
        <w:ind w:left="21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第四十一条第一、二、三款　"国家机关和国家工作人员侵犯公民权利而受到损失的人，</w:t>
      </w:r>
    </w:p>
    <w:p w14:paraId="DEC714AA">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有依照法律规定取得赔偿的权利"。</w:t>
      </w:r>
    </w:p>
    <w:p w14:paraId="265253E4">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《中华人民共和国中国人民银行法（修正）》</w:t>
      </w:r>
    </w:p>
    <w:p w14:paraId="346E286C">
      <w:pPr>
        <w:pStyle w:val="style0"/>
        <w:adjustRightInd/>
        <w:snapToGrid/>
        <w:spacing w:lineRule="auto" w:line="240"/>
        <w:ind w:left="21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第四条第一款第九项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人行违法颁发支付许可证怎么"维护支付、清算系统的正常运行"；</w:t>
      </w:r>
    </w:p>
    <w:p w14:paraId="25769B96">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"微信支付"、"支付宝"作为全国最大两家，都是系统重要性级别的非银行支付机构。</w:t>
      </w:r>
    </w:p>
    <w:p w14:paraId="553613FF">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《中华人民共和国行政许可法》</w:t>
      </w:r>
    </w:p>
    <w:p w14:paraId="BFE04BFB">
      <w:pPr>
        <w:pStyle w:val="style0"/>
        <w:adjustRightInd/>
        <w:snapToGrid/>
        <w:spacing w:lineRule="auto" w:line="240"/>
        <w:jc w:val="both"/>
        <w:outlineLvl w:val="9"/>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第七条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"公民、法人或者其他组织对行政机关实施行政许可，享有陈述权、申辩权;</w:t>
      </w:r>
    </w:p>
    <w:p w14:paraId="7B52E0DC">
      <w:pPr>
        <w:pStyle w:val="style0"/>
        <w:adjustRightInd/>
        <w:snapToGrid/>
        <w:spacing w:lineRule="auto" w:line="240"/>
        <w:ind w:left="105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有权依法申请行政复议或者提起行政诉讼；其合法权益因行政机关违法实施行政许可受到损害的，有权依法要求赔偿"。</w:t>
      </w:r>
    </w:p>
    <w:p w14:paraId="7C8AC95A">
      <w:pPr>
        <w:pStyle w:val="style0"/>
        <w:adjustRightInd/>
        <w:snapToGrid/>
        <w:spacing w:lineRule="auto" w:line="240"/>
        <w:jc w:val="both"/>
        <w:outlineLvl w:val="9"/>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第八条第二款</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r>
        <w:rPr>
          <w:rFonts w:ascii="黑体" w:cs="黑体" w:eastAsia="黑体" w:hAnsi="黑体" w:hint="default"/>
          <w:b w:val="false"/>
          <w:bCs w:val="false"/>
          <w:i w:val="false"/>
          <w:iCs w:val="false"/>
          <w:color w:val="auto"/>
          <w:kern w:val="2"/>
          <w:sz w:val="24"/>
          <w:szCs w:val="24"/>
          <w:highlight w:val="none"/>
          <w:u w:val="none"/>
          <w:vertAlign w:val="baseline"/>
          <w:em w:val="none"/>
          <w:lang w:val="en-US" w:bidi="ar-SA" w:eastAsia="zh-CN"/>
        </w:rPr>
        <w:t>"</w:t>
      </w:r>
      <w:r>
        <w:rPr>
          <w:rFonts w:ascii="黑体" w:cs="黑体" w:eastAsia="黑体" w:hAnsi="黑体" w:hint="default"/>
          <w:b w:val="false"/>
          <w:bCs w:val="false"/>
          <w:i w:val="false"/>
          <w:iCs w:val="false"/>
          <w:color w:val="36363d"/>
          <w:kern w:val="2"/>
          <w:sz w:val="24"/>
          <w:szCs w:val="24"/>
          <w:highlight w:val="none"/>
          <w:u w:val="none" w:color="auto"/>
          <w:vertAlign w:val="baseline"/>
          <w:em w:val="none"/>
          <w:lang w:val="en-US" w:bidi="ar-SA" w:eastAsia="zh-CN"/>
        </w:rPr>
        <w:t>给公民、法人或者其他组织造成财产损失的，应当依法给予补偿"</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4174307D">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第四十九条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被许可人"不符合法定条件、标准的要求"，被告不应续颁行政许可。</w:t>
      </w:r>
    </w:p>
    <w:p w14:paraId="D516AC20">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国务院令第768号《非银行支付机构监督管理条例》</w:t>
      </w:r>
    </w:p>
    <w:p w14:paraId="CB3E1108">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被告对"非银行支付机构",要加强主体监督管理责任, 更新认证及许可证的标准。</w:t>
      </w:r>
    </w:p>
    <w:p w14:paraId="1C85DA5D">
      <w:pPr>
        <w:pStyle w:val="style0"/>
        <w:adjustRightInd/>
        <w:snapToGrid/>
        <w:spacing w:lineRule="auto" w:line="240"/>
        <w:jc w:val="both"/>
        <w:outlineLvl w:val="9"/>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u w:val="single"/>
          <w:vertAlign w:val="baseline"/>
          <w:em w:val="none"/>
          <w:lang w:val="en-US" w:bidi="ar-SA" w:eastAsia="zh-CN"/>
        </w:rPr>
        <w:t>第三十八条</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"分类监督管理、定系统重要性非银行支付机构认定标准和监督管理规则"。</w:t>
      </w:r>
    </w:p>
    <w:p w14:paraId="F8167EA9">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default"/>
          <w:b w:val="false"/>
          <w:bCs w:val="false"/>
          <w:sz w:val="24"/>
          <w:szCs w:val="24"/>
          <w:u w:val="single"/>
          <w:lang w:val="en-US"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第四十六条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人行应当化解非银行支付风险。</w:t>
      </w:r>
    </w:p>
    <w:p w14:paraId="0A95E80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default"/>
          <w:b w:val="false"/>
          <w:bCs w:val="false"/>
          <w:sz w:val="24"/>
          <w:szCs w:val="24"/>
          <w:u w:val="none"/>
          <w:lang w:val="en-US" w:eastAsia="zh-CN"/>
        </w:rPr>
      </w:pPr>
      <w:r>
        <w:rPr>
          <w:rFonts w:ascii="宋体" w:cs="黑体" w:eastAsia="宋体" w:hAnsi="黑体" w:hint="default"/>
          <w:b w:val="false"/>
          <w:bCs w:val="false"/>
          <w:sz w:val="24"/>
          <w:szCs w:val="24"/>
          <w:u w:val="none"/>
          <w:lang w:val="en-US" w:eastAsia="zh-CN"/>
        </w:rPr>
        <w:t>人行《非银行支付机构网络支付业务管理办法》</w:t>
      </w:r>
    </w:p>
    <w:p w14:paraId="40E31AC9">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210" w:leftChars="0"/>
        <w:jc w:val="both"/>
        <w:textAlignment w:val="auto"/>
        <w:outlineLvl w:val="9"/>
        <w:rPr>
          <w:rFonts w:ascii="宋体" w:cs="黑体" w:eastAsia="宋体" w:hAnsi="黑体" w:hint="eastAsia"/>
          <w:b/>
          <w:bCs/>
          <w:sz w:val="24"/>
          <w:szCs w:val="24"/>
          <w:u w:val="none"/>
          <w:lang w:val="en-US" w:eastAsia="zh-CN"/>
        </w:rPr>
      </w:pPr>
      <w:r>
        <w:rPr>
          <w:rFonts w:ascii="宋体" w:cs="黑体" w:eastAsia="宋体" w:hAnsi="黑体" w:hint="default"/>
          <w:b w:val="false"/>
          <w:bCs w:val="false"/>
          <w:sz w:val="24"/>
          <w:szCs w:val="24"/>
          <w:u w:val="single"/>
          <w:lang w:val="en-US" w:eastAsia="zh-CN"/>
        </w:rPr>
        <w:t xml:space="preserve">第三十二条 </w:t>
      </w:r>
      <w:r>
        <w:rPr>
          <w:rFonts w:ascii="宋体" w:cs="黑体" w:eastAsia="宋体" w:hAnsi="黑体" w:hint="default"/>
          <w:b w:val="false"/>
          <w:bCs w:val="false"/>
          <w:sz w:val="24"/>
          <w:szCs w:val="24"/>
          <w:u w:val="none"/>
          <w:lang w:val="en-US" w:eastAsia="zh-CN"/>
        </w:rPr>
        <w:t>"中国人民银行确立支付机构分类监管指标体系，建立持续分类评价工作机制，并对支付机构实施动态分类管理。具体办法由中国人民银行另行制定"。</w:t>
      </w:r>
    </w:p>
    <w:p w14:paraId="913503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仿宋_GB2312" w:eastAsia="宋体" w:hAnsi="宋体" w:hint="default"/>
          <w:sz w:val="24"/>
          <w:szCs w:val="24"/>
          <w:u w:val="none"/>
          <w:lang w:val="en-US" w:eastAsia="zh-CN"/>
        </w:rPr>
      </w:pPr>
      <w:r>
        <w:rPr>
          <w:rFonts w:ascii="宋体" w:cs="黑体" w:eastAsia="宋体" w:hAnsi="黑体" w:hint="eastAsia"/>
          <w:b/>
          <w:bCs/>
          <w:sz w:val="24"/>
          <w:szCs w:val="24"/>
          <w:u w:val="none"/>
          <w:lang w:val="en-US" w:eastAsia="zh-CN"/>
        </w:rPr>
        <w:t>事实和理由</w:t>
      </w:r>
      <w:r>
        <w:rPr>
          <w:rFonts w:ascii="黑体" w:cs="黑体" w:eastAsia="黑体" w:hAnsi="黑体" w:hint="eastAsia"/>
          <w:b w:val="false"/>
          <w:bCs w:val="false"/>
          <w:sz w:val="24"/>
          <w:szCs w:val="24"/>
          <w:u w:val="none"/>
          <w:lang w:val="en-US" w:eastAsia="zh-CN"/>
        </w:rPr>
        <w:t>：</w:t>
      </w:r>
    </w:p>
    <w:p w14:paraId="AF6D6D37">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宋体" w:cs="仿宋_GB2312" w:eastAsia="宋体" w:hAnsi="宋体" w:hint="default"/>
          <w:sz w:val="24"/>
          <w:szCs w:val="24"/>
          <w:u w:val="none"/>
          <w:lang w:val="en-US" w:eastAsia="zh-CN"/>
        </w:rPr>
      </w:pPr>
      <w:r>
        <w:rPr>
          <w:rFonts w:ascii="宋体" w:cs="仿宋_GB2312" w:eastAsia="宋体" w:hAnsi="宋体" w:hint="default"/>
          <w:b w:val="false"/>
          <w:bCs w:val="false"/>
          <w:sz w:val="24"/>
          <w:szCs w:val="24"/>
          <w:u w:val="single"/>
          <w:lang w:val="en-US" w:eastAsia="zh-CN"/>
        </w:rPr>
        <w:t>中国人民银行的"非银行支付机构支付业务设施技术要求"三年前已经升级"国家标准"</w:t>
      </w:r>
      <w:r>
        <w:rPr>
          <w:rFonts w:ascii="宋体" w:cs="仿宋_GB2312" w:eastAsia="宋体" w:hAnsi="宋体" w:hint="default"/>
          <w:sz w:val="24"/>
          <w:szCs w:val="24"/>
          <w:u w:val="none"/>
          <w:lang w:val="en-US" w:eastAsia="zh-CN"/>
        </w:rPr>
        <w:t>:</w:t>
      </w:r>
    </w:p>
    <w:p w14:paraId="050016C6">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宋体" w:cs="仿宋_GB2312" w:eastAsia="宋体" w:hAnsi="宋体" w:hint="default"/>
          <w:sz w:val="24"/>
          <w:szCs w:val="24"/>
          <w:u w:val="none"/>
          <w:lang w:val="en-US" w:eastAsia="zh-CN"/>
        </w:rPr>
      </w:pPr>
      <w:r>
        <w:rPr>
          <w:rFonts w:ascii="宋体" w:cs="仿宋_GB2312" w:hAnsi="宋体" w:hint="default"/>
          <w:b/>
          <w:bCs/>
          <w:i w:val="false"/>
          <w:iCs w:val="false"/>
          <w:noProof/>
          <w:snapToGrid w:val="false"/>
          <w:color w:val="000000"/>
          <w:kern w:val="0"/>
          <w:sz w:val="24"/>
          <w:szCs w:val="24"/>
          <w:highlight w:val="none"/>
          <w:u w:val="single" w:color="auto"/>
          <w:vertAlign w:val="baseline"/>
          <w:em w:val="none"/>
          <w:lang w:val="en-US" w:bidi="ar-SA" w:eastAsia="zh-CN"/>
        </w:rPr>
        <w:t>如果</w:t>
      </w:r>
      <w:r>
        <w:rPr>
          <w:rFonts w:ascii="宋体" w:cs="仿宋_GB2312" w:eastAsia="宋体" w:hAnsi="宋体" w:hint="default"/>
          <w:b/>
          <w:bCs/>
          <w:i w:val="false"/>
          <w:iCs w:val="false"/>
          <w:noProof/>
          <w:snapToGrid w:val="false"/>
          <w:color w:val="000000"/>
          <w:kern w:val="0"/>
          <w:sz w:val="24"/>
          <w:szCs w:val="24"/>
          <w:highlight w:val="none"/>
          <w:u w:val="single" w:color="auto"/>
          <w:vertAlign w:val="baseline"/>
          <w:em w:val="none"/>
          <w:lang w:val="en-US" w:bidi="ar-SA" w:eastAsia="zh-CN"/>
        </w:rPr>
        <w:t>适用"旧2018行业标准"有关条款的, 那么</w:t>
      </w:r>
      <w:r>
        <w:rPr>
          <w:rFonts w:ascii="宋体" w:cs="仿宋_GB2312" w:eastAsia="宋体" w:hAnsi="宋体" w:hint="default"/>
          <w:b/>
          <w:bCs/>
          <w:sz w:val="24"/>
          <w:szCs w:val="24"/>
          <w:u w:val="single"/>
          <w:lang w:val="en-US" w:eastAsia="zh-CN"/>
        </w:rPr>
        <w:t>应换"新2022国家标准"的对等条目</w:t>
      </w:r>
      <w:r>
        <w:rPr>
          <w:rFonts w:ascii="宋体" w:cs="仿宋_GB2312" w:eastAsia="宋体" w:hAnsi="宋体" w:hint="default"/>
          <w:sz w:val="24"/>
          <w:szCs w:val="24"/>
          <w:u w:val="none"/>
          <w:lang w:val="en-US" w:eastAsia="zh-CN"/>
        </w:rPr>
        <w:t>。</w:t>
      </w:r>
    </w:p>
    <w:p w14:paraId="5E1E6823">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2018版"行业标准"JR/T 0122-2018, 摘要其"7.1.6.1单笔退款"</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23F62F4A">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"应实现对已发生的单笔交易进行退款申请、确认、审核、退款等功能。</w:t>
      </w:r>
    </w:p>
    <w:p w14:paraId="48BE615A">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支付服务方应将部分或全部已扣款项退还至客户的原扣款账户。"</w:t>
      </w:r>
    </w:p>
    <w:p w14:paraId="D7D9FE6B">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2022版"国家标准"GB/T41460-2022, 摘要其"5.2.7.1 单笔退款":</w:t>
      </w:r>
    </w:p>
    <w:p w14:paraId="C9CAF399">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"应实现单笔交易退款的功能。支付服务方应将部分或全部已扣款项退还至个人或企业客户的原扣款账户，</w:t>
      </w:r>
      <w:r>
        <w:rPr>
          <w:rFonts w:ascii="Times New Roman" w:cs="Times New Roman" w:eastAsia="宋体" w:hAnsi="Times New Roman" w:hint="default"/>
          <w:b/>
          <w:bCs/>
          <w:i w:val="false"/>
          <w:iCs w:val="false"/>
          <w:noProof/>
          <w:snapToGrid w:val="false"/>
          <w:color w:val="000000"/>
          <w:kern w:val="0"/>
          <w:sz w:val="24"/>
          <w:szCs w:val="24"/>
          <w:highlight w:val="none"/>
          <w:u w:val="single"/>
          <w:vertAlign w:val="baseline"/>
          <w:em w:val="none"/>
          <w:lang w:val="en-US" w:bidi="ar-SA" w:eastAsia="zh-CN"/>
        </w:rPr>
        <w:t>原扣款账户不能接收退款的，退款至付款方其他账户</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w:t>
      </w:r>
    </w:p>
    <w:p w14:paraId="A783499C">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"证据1"证实, 终端"微信支付"对"已注销收款账户"的"单笔退款"错误行为是:</w:t>
      </w:r>
    </w:p>
    <w:p w14:paraId="A35FC637">
      <w:pPr>
        <w:pStyle w:val="style179"/>
        <w:numPr>
          <w:ilvl w:val="0"/>
          <w:numId w:val="53"/>
        </w:numPr>
        <w:adjustRightInd/>
        <w:snapToGrid/>
        <w:spacing w:lineRule="auto" w:line="240"/>
        <w:ind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对"已注销收款账户"不会立即失败, 而是长达200天以上都是"退款中"状态</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E2594B02">
      <w:pPr>
        <w:pStyle w:val="style179"/>
        <w:numPr>
          <w:ilvl w:val="0"/>
          <w:numId w:val="0"/>
        </w:numPr>
        <w:adjustRightInd/>
        <w:snapToGrid/>
        <w:spacing w:lineRule="auto" w:line="240"/>
        <w:ind w:left="840" w:firstLine="0" w:firstLineChars="0"/>
        <w:jc w:val="both"/>
        <w:outlineLvl w:val="9"/>
        <w:rPr>
          <w:b w:val="false"/>
          <w:bCs w:val="false"/>
          <w:sz w:val="24"/>
          <w:szCs w:val="24"/>
          <w:u w:val="single"/>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违反国务院令第768号《非银行支付机构监督管理条例》的第十八条。</w:t>
      </w:r>
    </w:p>
    <w:p w14:paraId="0B07A99C">
      <w:pPr>
        <w:pStyle w:val="style179"/>
        <w:numPr>
          <w:ilvl w:val="0"/>
          <w:numId w:val="53"/>
        </w:numPr>
        <w:adjustRightInd/>
        <w:snapToGrid/>
        <w:spacing w:lineRule="auto" w:line="240"/>
        <w:ind w:firstLineChars="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只</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在立案后, 微信支付才</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未经原告许可单方面仅付款"50.26元"至原告微信"零钱"</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B5630FDD">
      <w:pPr>
        <w:pStyle w:val="style0"/>
        <w:adjustRightInd/>
        <w:snapToGrid/>
        <w:spacing w:lineRule="auto" w:line="240"/>
        <w:ind w:left="840" w:leftChars="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违反《非银行支付机构网络支付业务管理办法》第二十九条。</w:t>
      </w:r>
    </w:p>
    <w:p w14:paraId="CDA5A51E">
      <w:pPr>
        <w:pStyle w:val="style0"/>
        <w:adjustRightInd/>
        <w:snapToGrid/>
        <w:spacing w:lineRule="auto" w:line="240"/>
        <w:ind w:left="420" w:leftChars="0" w:firstLineChars="20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按照"GB/T41460-2022"的"5.2.7.1 单笔退款"应退款至付款方(淘宝)其他账户。</w:t>
      </w:r>
    </w:p>
    <w:p w14:paraId="A963C13B">
      <w:pPr>
        <w:pStyle w:val="style179"/>
        <w:numPr>
          <w:ilvl w:val="0"/>
          <w:numId w:val="30"/>
        </w:numPr>
        <w:adjustRightInd/>
        <w:snapToGrid/>
        <w:spacing w:lineRule="auto" w:line="240"/>
        <w:ind w:firstLineChars="0"/>
        <w:jc w:val="both"/>
        <w:outlineLvl w:val="9"/>
        <w:rPr>
          <w:rFonts w:ascii="宋体" w:cs="Times New Roman" w:eastAsia="宋体" w:hAnsi="Calibri"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国金认证于新国标发布快三年的2024年4月15日</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颁发"注册号:CFNR201901440574"的"非银行支付机构支付业务设施技术认证（一级)"给"微信支付"。</w:t>
      </w:r>
    </w:p>
    <w:p w14:paraId="65D9FEA0">
      <w:pPr>
        <w:pStyle w:val="style179"/>
        <w:numPr>
          <w:ilvl w:val="0"/>
          <w:numId w:val="30"/>
        </w:numPr>
        <w:adjustRightInd/>
        <w:snapToGrid/>
        <w:spacing w:lineRule="auto" w:line="240"/>
        <w:ind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人行于</w:t>
      </w:r>
      <w:r>
        <w:rPr>
          <w:rFonts w:ascii="宋体" w:cs="仿宋_GB2312" w:eastAsia="宋体" w:hAnsi="宋体" w:hint="default"/>
          <w:b/>
          <w:bCs/>
          <w:i w:val="false"/>
          <w:iCs w:val="false"/>
          <w:noProof/>
          <w:snapToGrid w:val="false"/>
          <w:color w:val="000000"/>
          <w:kern w:val="0"/>
          <w:sz w:val="24"/>
          <w:szCs w:val="24"/>
          <w:highlight w:val="none"/>
          <w:vertAlign w:val="baseline"/>
          <w:em w:val="none"/>
          <w:lang w:val="en-US" w:bidi="ar-SA" w:eastAsia="zh-CN"/>
        </w:rPr>
        <w:t>2025-05-16</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宋体" w:cs="仿宋_GB2312" w:eastAsia="宋体" w:hAnsi="宋体" w:hint="default"/>
          <w:b w:val="false"/>
          <w:bCs w:val="false"/>
          <w:i w:val="false"/>
          <w:iCs w:val="false"/>
          <w:noProof/>
          <w:snapToGrid w:val="false"/>
          <w:color w:val="auto"/>
          <w:kern w:val="2"/>
          <w:sz w:val="24"/>
          <w:szCs w:val="24"/>
          <w:highlight w:val="none"/>
          <w:u w:val="none" w:color="auto"/>
          <w:vertAlign w:val="baseline"/>
          <w:em w:val="none"/>
          <w:lang w:val="en-US" w:bidi="ar-SA" w:eastAsia="zh-CN"/>
        </w:rPr>
        <w:t>"支付业务许可证"给"微信支付"</w:t>
      </w:r>
      <w:r>
        <w:rPr>
          <w:rFonts w:ascii="宋体" w:cs="仿宋_GB2312" w:hAnsi="宋体" w:hint="default"/>
          <w:b w:val="false"/>
          <w:bCs w:val="false"/>
          <w:i w:val="false"/>
          <w:iCs w:val="false"/>
          <w:noProof/>
          <w:snapToGrid w:val="false"/>
          <w:color w:val="auto"/>
          <w:kern w:val="2"/>
          <w:sz w:val="24"/>
          <w:szCs w:val="24"/>
          <w:highlight w:val="none"/>
          <w:u w:val="none" w:color="auto"/>
          <w:vertAlign w:val="baseline"/>
          <w:em w:val="none"/>
          <w:lang w:val="en-US" w:bidi="ar-SA" w:eastAsia="zh-CN"/>
        </w:rPr>
        <w:t>，</w:t>
      </w:r>
    </w:p>
    <w:p w14:paraId="21CE740C">
      <w:pPr>
        <w:pStyle w:val="style0"/>
        <w:adjustRightInd/>
        <w:snapToGrid/>
        <w:spacing w:lineRule="auto" w:line="240"/>
        <w:ind w:left="420" w:firstLine="0"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 xml:space="preserve">有效期至2026-05-02, </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覆盖范围:全国, "类型:储值账户运营I类、支付交易处理I类"。</w:t>
      </w:r>
    </w:p>
    <w:p w14:paraId="2DC3DCB2">
      <w:pPr>
        <w:pStyle w:val="style179"/>
        <w:numPr>
          <w:ilvl w:val="0"/>
          <w:numId w:val="30"/>
        </w:numPr>
        <w:spacing w:lineRule="auto" w:line="240"/>
        <w:ind w:firstLineChars="0"/>
        <w:jc w:val="both"/>
        <w:rPr/>
      </w:pPr>
      <w:r>
        <w:rPr>
          <w:rFonts w:ascii="Calibri" w:cs="Arial" w:eastAsia="宋体" w:hAnsi="Calibri" w:hint="default"/>
          <w:b/>
          <w:bCs/>
          <w:i w:val="false"/>
          <w:iCs w:val="false"/>
          <w:color w:val="auto"/>
          <w:kern w:val="2"/>
          <w:sz w:val="21"/>
          <w:szCs w:val="22"/>
          <w:highlight w:val="none"/>
          <w:vertAlign w:val="baseline"/>
          <w:em w:val="none"/>
          <w:lang w:val="en-US" w:bidi="ar-SA" w:eastAsia="zh-CN"/>
        </w:rPr>
        <w:t>侵权及造成损失应赔偿的总天数估计:</w:t>
      </w:r>
      <w:r>
        <w:rPr>
          <w:rFonts w:ascii="Calibri" w:cs="Arial" w:eastAsia="宋体" w:hAnsi="Calibri" w:hint="default"/>
          <w:b/>
          <w:bCs/>
          <w:i w:val="false"/>
          <w:iCs w:val="false"/>
          <w:color w:val="auto"/>
          <w:kern w:val="2"/>
          <w:sz w:val="21"/>
          <w:szCs w:val="22"/>
          <w:highlight w:val="none"/>
          <w:vertAlign w:val="baseline"/>
          <w:em w:val="none"/>
          <w:lang w:val="en-US" w:bidi="ar-SA" w:eastAsia="zh-CN"/>
        </w:rPr>
        <w:t xml:space="preserve"> </w:t>
      </w:r>
      <w:r>
        <w:rPr>
          <w:rFonts w:ascii="Calibri" w:cs="Arial" w:eastAsia="宋体" w:hAnsi="Calibri" w:hint="default"/>
          <w:b/>
          <w:bCs/>
          <w:i w:val="false"/>
          <w:iCs w:val="false"/>
          <w:color w:val="auto"/>
          <w:kern w:val="2"/>
          <w:sz w:val="21"/>
          <w:szCs w:val="22"/>
          <w:highlight w:val="none"/>
          <w:vertAlign w:val="baseline"/>
          <w:em w:val="none"/>
          <w:lang w:val="en-US" w:bidi="ar-SA" w:eastAsia="zh-CN"/>
        </w:rPr>
        <w:t>275天(</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(比照"诉微信支付案"的"微信支付"则责任</w:t>
      </w:r>
      <w:r>
        <w:rPr>
          <w:rFonts w:ascii="Calibri" w:cs="Arial" w:eastAsia="宋体" w:hAnsi="Calibri" w:hint="default"/>
          <w:b/>
          <w:bCs/>
          <w:i w:val="false"/>
          <w:iCs w:val="false"/>
          <w:color w:val="auto"/>
          <w:kern w:val="2"/>
          <w:sz w:val="21"/>
          <w:szCs w:val="22"/>
          <w:highlight w:val="none"/>
          <w:vertAlign w:val="baseline"/>
          <w:em w:val="none"/>
          <w:lang w:val="en-US" w:bidi="ar-SA" w:eastAsia="zh-CN"/>
        </w:rPr>
        <w:t>)</w:t>
      </w:r>
      <w:r>
        <w:rPr>
          <w:rFonts w:ascii="Calibri" w:cs="Arial" w:eastAsia="宋体" w:hAnsi="Calibri" w:hint="default"/>
          <w:b w:val="false"/>
          <w:bCs w:val="false"/>
          <w:i w:val="false"/>
          <w:iCs w:val="false"/>
          <w:color w:val="auto"/>
          <w:kern w:val="2"/>
          <w:sz w:val="21"/>
          <w:szCs w:val="22"/>
          <w:highlight w:val="none"/>
          <w:vertAlign w:val="baseline"/>
          <w:em w:val="none"/>
          <w:lang w:val="en-US" w:bidi="ar-SA" w:eastAsia="zh-CN"/>
        </w:rPr>
        <w:t>。</w:t>
      </w:r>
    </w:p>
    <w:p w14:paraId="E4F0A2ED">
      <w:pPr>
        <w:spacing w:lineRule="auto" w:line="240"/>
        <w:ind w:left="420" w:firstLine="0" w:firstLineChars="0"/>
        <w:jc w:val="both"/>
        <w:rPr/>
      </w:pPr>
      <w:r>
        <w:rPr>
          <w:rFonts w:ascii="Times New Roman" w:cs="Times New Roman" w:eastAsia="宋体" w:hAnsi="Times New Roman" w:hint="default"/>
          <w:b/>
          <w:bCs/>
          <w:i w:val="false"/>
          <w:iCs w:val="false"/>
          <w:color w:val="auto"/>
          <w:kern w:val="2"/>
          <w:sz w:val="21"/>
          <w:szCs w:val="24"/>
          <w:highlight w:val="none"/>
          <w:vertAlign w:val="baseline"/>
          <w:em w:val="none"/>
          <w:lang w:val="en-US" w:bidi="ar-SA" w:eastAsia="zh-CN"/>
        </w:rPr>
        <w:t>赔偿计算的起始日为2025年1月20日("应当退款日")</w:t>
      </w:r>
      <w:r>
        <w:rPr>
          <w:rFonts w:ascii="Times New Roman" w:cs="Times New Roman" w:eastAsia="宋体" w:hAnsi="Times New Roman" w:hint="default"/>
          <w:b w:val="false"/>
          <w:bCs w:val="false"/>
          <w:i w:val="false"/>
          <w:iCs w:val="false"/>
          <w:color w:val="auto"/>
          <w:kern w:val="2"/>
          <w:sz w:val="21"/>
          <w:szCs w:val="24"/>
          <w:highlight w:val="none"/>
          <w:vertAlign w:val="baseline"/>
          <w:em w:val="none"/>
          <w:lang w:val="en-US" w:bidi="ar-SA" w:eastAsia="zh-CN"/>
        </w:rPr>
        <w:t>。</w:t>
      </w:r>
      <w:r>
        <w:rPr>
          <w:rFonts w:ascii="Calibri" w:cs="Arial" w:eastAsia="宋体" w:hAnsi="Calibri" w:hint="default"/>
          <w:b/>
          <w:bCs/>
          <w:i w:val="false"/>
          <w:iCs w:val="false"/>
          <w:color w:val="auto"/>
          <w:kern w:val="2"/>
          <w:sz w:val="21"/>
          <w:szCs w:val="22"/>
          <w:highlight w:val="none"/>
          <w:vertAlign w:val="baseline"/>
          <w:em w:val="none"/>
          <w:lang w:val="en-US" w:bidi="ar-SA" w:eastAsia="zh-CN"/>
        </w:rPr>
        <w:t>先估计10月25日为判决日</w:t>
      </w:r>
      <w:r>
        <w:rPr>
          <w:rFonts w:ascii="Calibri" w:cs="Arial" w:eastAsia="宋体" w:hAnsi="Calibri" w:hint="default"/>
          <w:b w:val="false"/>
          <w:bCs w:val="false"/>
          <w:i w:val="false"/>
          <w:iCs w:val="false"/>
          <w:color w:val="auto"/>
          <w:kern w:val="2"/>
          <w:sz w:val="21"/>
          <w:szCs w:val="22"/>
          <w:highlight w:val="none"/>
          <w:vertAlign w:val="baseline"/>
          <w:em w:val="none"/>
          <w:lang w:val="en-US" w:bidi="ar-SA" w:eastAsia="zh-CN"/>
        </w:rPr>
        <w:t>。</w:t>
      </w:r>
    </w:p>
    <w:p w14:paraId="21DC8953">
      <w:pPr>
        <w:spacing w:lineRule="auto" w:line="240"/>
        <w:ind w:firstLineChars="200"/>
        <w:jc w:val="both"/>
        <w:rPr/>
      </w:pPr>
      <w:r>
        <w:rPr>
          <w:rFonts w:ascii="Calibri" w:cs="Arial" w:eastAsia="宋体" w:hAnsi="Calibri" w:hint="default"/>
          <w:b w:val="false"/>
          <w:bCs w:val="false"/>
          <w:i w:val="false"/>
          <w:iCs w:val="false"/>
          <w:color w:val="auto"/>
          <w:kern w:val="2"/>
          <w:sz w:val="21"/>
          <w:szCs w:val="22"/>
          <w:highlight w:val="none"/>
          <w:vertAlign w:val="baseline"/>
          <w:em w:val="none"/>
          <w:lang w:val="en-US" w:bidi="ar-SA" w:eastAsia="zh-CN"/>
        </w:rPr>
        <w:t>另外，</w:t>
      </w:r>
      <w:r>
        <w:rPr>
          <w:rFonts w:ascii="Calibri" w:cs="Arial" w:eastAsia="宋体" w:hAnsi="Calibri" w:hint="default"/>
          <w:b/>
          <w:bCs/>
          <w:i w:val="false"/>
          <w:iCs w:val="false"/>
          <w:color w:val="auto"/>
          <w:kern w:val="2"/>
          <w:sz w:val="21"/>
          <w:szCs w:val="22"/>
          <w:highlight w:val="none"/>
          <w:vertAlign w:val="baseline"/>
          <w:em w:val="none"/>
          <w:lang w:val="en-US" w:bidi="ar-SA" w:eastAsia="zh-CN"/>
        </w:rPr>
        <w:t>原告接受按照实际的判决执行日期更正标的额，以尊重法院的自主日程安排</w:t>
      </w:r>
      <w:r>
        <w:rPr>
          <w:rFonts w:ascii="Calibri" w:cs="Arial" w:eastAsia="宋体" w:hAnsi="Calibri" w:hint="default"/>
          <w:b/>
          <w:bCs/>
          <w:i w:val="false"/>
          <w:iCs w:val="false"/>
          <w:color w:val="auto"/>
          <w:kern w:val="2"/>
          <w:sz w:val="21"/>
          <w:szCs w:val="22"/>
          <w:highlight w:val="none"/>
          <w:vertAlign w:val="baseline"/>
          <w:em w:val="none"/>
          <w:lang w:val="en-US" w:bidi="ar-SA" w:eastAsia="zh-CN"/>
        </w:rPr>
        <w:t>。</w:t>
      </w:r>
    </w:p>
    <w:p w14:paraId="7C5F834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Calibri" w:cs="Arial" w:eastAsia="宋体" w:hAnsi="Calibri" w:hint="default"/>
          <w:b/>
          <w:bCs/>
          <w:i w:val="false"/>
          <w:iCs w:val="false"/>
          <w:color w:val="auto"/>
          <w:kern w:val="2"/>
          <w:sz w:val="21"/>
          <w:szCs w:val="22"/>
          <w:highlight w:val="none"/>
          <w:u w:val="single" w:color="auto"/>
          <w:vertAlign w:val="baseline"/>
          <w:em w:val="none"/>
          <w:lang w:val="en-US" w:bidi="ar-SA" w:eastAsia="zh-CN"/>
        </w:rPr>
        <w:t>也请法官判决前和原告同步判决执行日期并更正标的额</w:t>
      </w:r>
      <w:r>
        <w:rPr>
          <w:rFonts w:ascii="Calibri" w:cs="Arial" w:eastAsia="宋体" w:hAnsi="Calibri" w:hint="default"/>
          <w:b/>
          <w:bCs/>
          <w:i w:val="false"/>
          <w:iCs w:val="false"/>
          <w:color w:val="auto"/>
          <w:kern w:val="2"/>
          <w:sz w:val="21"/>
          <w:szCs w:val="22"/>
          <w:highlight w:val="none"/>
          <w:vertAlign w:val="baseline"/>
          <w:em w:val="none"/>
          <w:lang w:val="en-US" w:bidi="ar-SA" w:eastAsia="zh-CN"/>
        </w:rPr>
        <w:t>。</w:t>
      </w:r>
    </w:p>
    <w:p w14:paraId="815850E9">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根据全国首家互联网法院"杭州互联网法院"的统计过数据，网审案大概用40天。</w:t>
      </w:r>
    </w:p>
    <w:p w14:paraId="235686DA">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宋体" w:eastAsia="宋体"/>
          <w:b w:val="false"/>
          <w:bCs w:val="false"/>
          <w:sz w:val="24"/>
          <w:szCs w:val="24"/>
          <w:lang w:val="en-US"/>
        </w:rPr>
      </w:pPr>
      <w:r>
        <w:rPr>
          <w:rFonts w:ascii="宋体" w:eastAsia="宋体"/>
          <w:b/>
          <w:bCs/>
          <w:sz w:val="24"/>
          <w:szCs w:val="24"/>
          <w:lang w:val="en-US"/>
        </w:rPr>
        <w:t>赔偿损失及奖赏的参照模型</w:t>
      </w:r>
      <w:r>
        <w:rPr>
          <w:rFonts w:ascii="宋体" w:eastAsia="宋体"/>
          <w:b w:val="false"/>
          <w:bCs w:val="false"/>
          <w:sz w:val="24"/>
          <w:szCs w:val="24"/>
          <w:lang w:val="en-US"/>
        </w:rPr>
        <w:t>:</w:t>
      </w:r>
    </w:p>
    <w:p w14:paraId="EB55D38A">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b/>
          <w:bCs/>
          <w:sz w:val="24"/>
          <w:szCs w:val="24"/>
          <w:lang w:val="en-US"/>
        </w:rPr>
        <w:t>原告系统性地为中央及国家避免风险, 规范制度流程, 激活组织, 保障社会经济秩序</w:t>
      </w:r>
      <w:r>
        <w:rPr>
          <w:rFonts w:ascii="宋体" w:eastAsia="宋体"/>
          <w:sz w:val="24"/>
          <w:szCs w:val="24"/>
          <w:lang w:val="en-US"/>
        </w:rPr>
        <w:t>。</w:t>
      </w:r>
    </w:p>
    <w:p w14:paraId="CCA02AA5">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cs="Times New Roman" w:hAnsi="Calibri"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Calibri" w:hint="default"/>
          <w:b/>
          <w:bCs/>
          <w:i w:val="false"/>
          <w:iCs w:val="false"/>
          <w:color w:val="auto"/>
          <w:kern w:val="2"/>
          <w:sz w:val="24"/>
          <w:szCs w:val="24"/>
          <w:highlight w:val="none"/>
          <w:u w:val="single"/>
          <w:vertAlign w:val="baseline"/>
          <w:em w:val="none"/>
          <w:lang w:val="en-US" w:bidi="ar-SA" w:eastAsia="zh-CN"/>
        </w:rPr>
        <w:t>对赔偿总额</w:t>
      </w:r>
      <w:r>
        <w:rPr>
          <w:rFonts w:ascii="宋体" w:cs="Times New Roman" w:hAnsi="Calibri" w:hint="default"/>
          <w:b/>
          <w:bCs/>
          <w:i w:val="false"/>
          <w:iCs w:val="false"/>
          <w:color w:val="auto"/>
          <w:kern w:val="2"/>
          <w:sz w:val="24"/>
          <w:szCs w:val="24"/>
          <w:highlight w:val="none"/>
          <w:u w:val="single"/>
          <w:vertAlign w:val="baseline"/>
          <w:em w:val="none"/>
          <w:lang w:val="en-US" w:bidi="ar-SA" w:eastAsia="zh-CN"/>
        </w:rPr>
        <w:t>，</w:t>
      </w:r>
      <w:r>
        <w:rPr>
          <w:rFonts w:ascii="宋体" w:cs="Times New Roman" w:eastAsia="宋体" w:hAnsi="Calibri" w:hint="default"/>
          <w:b/>
          <w:bCs/>
          <w:i w:val="false"/>
          <w:iCs w:val="false"/>
          <w:color w:val="auto"/>
          <w:kern w:val="2"/>
          <w:sz w:val="24"/>
          <w:szCs w:val="24"/>
          <w:highlight w:val="none"/>
          <w:u w:val="single"/>
          <w:vertAlign w:val="baseline"/>
          <w:em w:val="none"/>
          <w:lang w:val="en-US" w:bidi="ar-SA" w:eastAsia="zh-CN"/>
        </w:rPr>
        <w:t>放大系数值可合理的设置成: 20.0(奖功</w:t>
      </w:r>
      <w:r>
        <w:rPr>
          <w:rFonts w:ascii="宋体" w:cs="Times New Roman" w:eastAsia="宋体" w:hAnsi="Calibri" w:hint="default"/>
          <w:b/>
          <w:bCs/>
          <w:i w:val="false"/>
          <w:iCs w:val="false"/>
          <w:color w:val="auto"/>
          <w:kern w:val="2"/>
          <w:sz w:val="24"/>
          <w:szCs w:val="24"/>
          <w:highlight w:val="none"/>
          <w:u w:val="single" w:color="auto"/>
          <w:vertAlign w:val="baseline"/>
          <w:em w:val="none"/>
          <w:lang w:val="en-US" w:bidi="ar-SA" w:eastAsia="zh-CN"/>
        </w:rPr>
        <w:t>性赔偿</w:t>
      </w:r>
      <w:r>
        <w:rPr>
          <w:rFonts w:ascii="宋体" w:cs="Times New Roman" w:eastAsia="宋体" w:hAnsi="Calibri" w:hint="default"/>
          <w:b/>
          <w:bCs/>
          <w:i w:val="false"/>
          <w:iCs w:val="false"/>
          <w:color w:val="auto"/>
          <w:kern w:val="2"/>
          <w:sz w:val="24"/>
          <w:szCs w:val="24"/>
          <w:highlight w:val="none"/>
          <w:u w:val="single"/>
          <w:vertAlign w:val="baseline"/>
          <w:em w:val="none"/>
          <w:lang w:val="en-US" w:bidi="ar-SA" w:eastAsia="zh-CN"/>
        </w:rPr>
        <w:t>)</w:t>
      </w:r>
      <w:r>
        <w:rPr>
          <w:rFonts w:ascii="宋体" w:cs="Times New Roman" w:hAnsi="Calibri" w:hint="default"/>
          <w:b w:val="false"/>
          <w:bCs w:val="false"/>
          <w:i w:val="false"/>
          <w:iCs w:val="false"/>
          <w:color w:val="auto"/>
          <w:kern w:val="2"/>
          <w:sz w:val="24"/>
          <w:szCs w:val="24"/>
          <w:highlight w:val="none"/>
          <w:vertAlign w:val="baseline"/>
          <w:em w:val="none"/>
          <w:lang w:val="en-US" w:bidi="ar-SA" w:eastAsia="zh-CN"/>
        </w:rPr>
        <w:t>；</w:t>
      </w:r>
    </w:p>
    <w:p w14:paraId="E3E5D7DB">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原告提供两种赔偿模型(分别参照"被告法定代表人的年收入"与"原告的"收入):</w:t>
      </w:r>
    </w:p>
    <w:p w14:paraId="22AEA382">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pPr>
      <w:r>
        <w:rPr>
          <w:rFonts w:ascii="宋体" w:eastAsia="宋体"/>
          <w:sz w:val="24"/>
          <w:szCs w:val="24"/>
          <w:lang w:val="en-US"/>
        </w:rPr>
        <w:t>①</w:t>
      </w:r>
      <w:r>
        <w:rPr>
          <w:rFonts w:ascii="宋体" w:eastAsia="宋体"/>
          <w:b/>
          <w:bCs/>
          <w:sz w:val="24"/>
          <w:szCs w:val="24"/>
          <w:lang w:val="en-US"/>
        </w:rPr>
        <w:t>法院可以要求被告提供其法定代表人的年收入作为赔偿参考基准</w:t>
      </w:r>
      <w:r>
        <w:rPr>
          <w:rFonts w:ascii="宋体" w:eastAsia="宋体"/>
          <w:sz w:val="24"/>
          <w:szCs w:val="24"/>
          <w:lang w:val="en-US"/>
        </w:rPr>
        <w:t>。</w:t>
      </w:r>
    </w:p>
    <w:p w14:paraId="B34C40AF">
      <w:pPr>
        <w:spacing w:lineRule="auto" w:line="240"/>
        <w:jc w:val="both"/>
        <w:rPr>
          <w:sz w:val="24"/>
          <w:szCs w:val="24"/>
        </w:rPr>
      </w:pPr>
      <w:r>
        <w:rPr>
          <w:rFonts w:ascii="Calibri" w:cs="Arial" w:eastAsia="宋体" w:hAnsi="Calibri" w:hint="default"/>
          <w:b w:val="false"/>
          <w:bCs w:val="false"/>
          <w:i w:val="false"/>
          <w:iCs w:val="false"/>
          <w:color w:val="auto"/>
          <w:kern w:val="2"/>
          <w:sz w:val="21"/>
          <w:szCs w:val="22"/>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假设, 其法定代表人的年收入换算成日薪: X元/天。</w:t>
      </w:r>
    </w:p>
    <w:p w14:paraId="848019DD">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bCs/>
          <w:i w:val="false"/>
          <w:iCs w:val="false"/>
          <w:color w:val="auto"/>
          <w:kern w:val="2"/>
          <w:sz w:val="24"/>
          <w:szCs w:val="24"/>
          <w:highlight w:val="none"/>
          <w:vertAlign w:val="baseline"/>
          <w:em w:val="none"/>
          <w:lang w:val="en-US" w:bidi="ar-SA" w:eastAsia="zh-CN"/>
        </w:rPr>
        <w:t>则每一被告分担赔偿损失金额</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bCs/>
          <w:i w:val="false"/>
          <w:iCs w:val="false"/>
          <w:color w:val="auto"/>
          <w:kern w:val="2"/>
          <w:sz w:val="24"/>
          <w:szCs w:val="24"/>
          <w:highlight w:val="none"/>
          <w:vertAlign w:val="baseline"/>
          <w:em w:val="none"/>
          <w:lang w:val="en-US" w:bidi="ar-SA" w:eastAsia="zh-CN"/>
        </w:rPr>
        <w:t>275*X.00元</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[ 275天 × X元/天 ]</w:t>
      </w:r>
    </w:p>
    <w:p w14:paraId="3A31F3B1">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②原告保守估计现年收入: 383.65万元/年, 根据历史薪资计算年均增长率估值模型:</w:t>
      </w:r>
    </w:p>
    <w:p w14:paraId="FB9A1455">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 xml:space="preserve">  2008年月薪7千，2018年月薪10万, 即年均增长15.49%; </w:t>
      </w:r>
    </w:p>
    <w:p w14:paraId="6BF0E8B7">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jc w:val="both"/>
        <w:textAlignment w:val="auto"/>
        <w:outlineLvl w:val="9"/>
        <w:rPr>
          <w:rFonts w:ascii="宋体" w:eastAsia="宋体"/>
          <w:sz w:val="24"/>
          <w:szCs w:val="24"/>
          <w:lang w:val="en-US"/>
        </w:rPr>
      </w:pPr>
      <w:r>
        <w:rPr>
          <w:rFonts w:ascii="宋体" w:eastAsia="宋体"/>
          <w:sz w:val="24"/>
          <w:szCs w:val="24"/>
          <w:lang w:val="en-US"/>
        </w:rPr>
        <w:t>估计2025年月薪274040; 换算成日薪: 9135元/天。</w:t>
      </w:r>
    </w:p>
    <w:p w14:paraId="52BCEEC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jc w:val="both"/>
        <w:textAlignment w:val="auto"/>
        <w:outlineLvl w:val="9"/>
        <w:rPr>
          <w:rFonts w:ascii="宋体" w:eastAsia="宋体"/>
          <w:b/>
          <w:bCs/>
          <w:sz w:val="24"/>
          <w:szCs w:val="24"/>
          <w:lang w:val="en-US"/>
        </w:rPr>
      </w:pPr>
      <w:r>
        <w:rPr>
          <w:rFonts w:ascii="宋体" w:eastAsia="宋体"/>
          <w:b/>
          <w:bCs/>
          <w:sz w:val="24"/>
          <w:szCs w:val="24"/>
          <w:lang w:val="en-US"/>
        </w:rPr>
        <w:t>则被告分担赔偿金额</w:t>
      </w:r>
      <w:r>
        <w:rPr>
          <w:rFonts w:ascii="宋体" w:eastAsia="宋体"/>
          <w:sz w:val="24"/>
          <w:szCs w:val="24"/>
          <w:lang w:val="en-US"/>
        </w:rPr>
        <w:t xml:space="preserve"> </w:t>
      </w:r>
      <w:r>
        <w:rPr>
          <w:rFonts w:ascii="宋体" w:eastAsia="宋体"/>
          <w:b/>
          <w:bCs/>
          <w:sz w:val="24"/>
          <w:szCs w:val="24"/>
          <w:lang w:val="en-US"/>
        </w:rPr>
        <w:t>50242500</w:t>
      </w:r>
      <w:r>
        <w:rPr>
          <w:rFonts w:ascii="宋体" w:eastAsia="宋体"/>
          <w:sz w:val="24"/>
          <w:szCs w:val="24"/>
          <w:lang w:val="en-US"/>
        </w:rPr>
        <w:t>.</w:t>
      </w:r>
      <w:r>
        <w:rPr>
          <w:rFonts w:ascii="宋体" w:eastAsia="宋体"/>
          <w:b/>
          <w:bCs/>
          <w:sz w:val="24"/>
          <w:szCs w:val="24"/>
          <w:lang w:val="en-US"/>
        </w:rPr>
        <w:t>00</w:t>
      </w:r>
      <w:r>
        <w:rPr>
          <w:rFonts w:ascii="宋体" w:eastAsia="宋体"/>
          <w:sz w:val="24"/>
          <w:szCs w:val="24"/>
          <w:lang w:val="en-US"/>
        </w:rPr>
        <w:t>元[ 20 ×275 ×9135 ]</w:t>
      </w:r>
    </w:p>
    <w:p w14:paraId="A0CCC787">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宋体" w:eastAsia="宋体"/>
          <w:sz w:val="24"/>
          <w:szCs w:val="24"/>
        </w:rPr>
      </w:pPr>
      <w:r>
        <w:rPr>
          <w:rFonts w:ascii="宋体" w:eastAsia="宋体"/>
          <w:b/>
          <w:bCs/>
          <w:sz w:val="24"/>
          <w:szCs w:val="24"/>
          <w:lang w:val="en-US"/>
        </w:rPr>
        <w:t>证据</w:t>
      </w:r>
      <w:r>
        <w:rPr>
          <w:rFonts w:ascii="宋体" w:eastAsia="宋体"/>
          <w:sz w:val="24"/>
          <w:szCs w:val="24"/>
          <w:lang w:val="en-US"/>
        </w:rPr>
        <w:t>:</w:t>
      </w:r>
    </w:p>
    <w:p w14:paraId="32705F85">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rFonts w:ascii="宋体" w:eastAsia="宋体" w:hAnsi="仿宋_GB2312"/>
          <w:b w:val="false"/>
          <w:bCs w:val="false"/>
          <w:sz w:val="24"/>
          <w:szCs w:val="24"/>
        </w:rPr>
      </w:pPr>
      <w:r>
        <w:rPr>
          <w:rFonts w:ascii="宋体" w:cs="仿宋_GB2312" w:eastAsia="宋体" w:hAnsi="仿宋_GB2312" w:hint="default"/>
          <w:b w:val="false"/>
          <w:bCs w:val="false"/>
          <w:i w:val="false"/>
          <w:iCs w:val="false"/>
          <w:color w:val="auto"/>
          <w:kern w:val="2"/>
          <w:sz w:val="24"/>
          <w:szCs w:val="24"/>
          <w:highlight w:val="none"/>
          <w:vertAlign w:val="baseline"/>
          <w:em w:val="none"/>
          <w:lang w:val="en-US" w:bidi="ar-SA" w:eastAsia="zh-CN"/>
        </w:rPr>
        <w:t>证据1. 微信支付交易记录;</w:t>
      </w:r>
    </w:p>
    <w:p w14:paraId="73B0FED4">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sz w:val="24"/>
          <w:szCs w:val="24"/>
          <w:lang w:val="en-US"/>
        </w:rPr>
        <w:t>证据2. 关于《非银行支付机构支付业务设施技术要求》的"单笔退款"，对比:</w:t>
      </w:r>
    </w:p>
    <w:p w14:paraId="C3002FFD">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"新2022版国家标准GB/T41460-2022"与"</w:t>
      </w:r>
      <w:r>
        <w:rPr>
          <w:sz w:val="24"/>
          <w:szCs w:val="24"/>
          <w:lang w:val="en-US"/>
        </w:rPr>
        <w:t>旧2018版行业标准JR/T0122-201"的。</w:t>
      </w:r>
    </w:p>
    <w:p w14:paraId="C2864118">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sz w:val="24"/>
          <w:szCs w:val="24"/>
          <w:lang w:val="en-US"/>
        </w:rPr>
        <w:t>证据3. 财付通资格认证，包括: "支付业务许可证"(编号Z2000444000013)，</w:t>
      </w:r>
    </w:p>
    <w:p w14:paraId="E82492E6">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rPr>
      </w:pPr>
      <w:r>
        <w:rPr>
          <w:sz w:val="24"/>
          <w:szCs w:val="24"/>
          <w:lang w:val="en-US"/>
        </w:rPr>
        <w:t>"非银行支付机构支付业务设施技术认证"服务认证证书(注册号CFNR201901440574)。</w:t>
      </w:r>
    </w:p>
    <w:p w14:paraId="0388D69D">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lang w:val="en-US"/>
        </w:rPr>
      </w:pPr>
      <w:r>
        <w:rPr>
          <w:sz w:val="24"/>
          <w:szCs w:val="24"/>
          <w:lang w:val="en-US"/>
        </w:rPr>
        <w:t>本案是以下两宗案的关联案(</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可取得授权调取案件</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证据及卷宗</w:t>
      </w:r>
      <w:r>
        <w:rPr>
          <w:sz w:val="24"/>
          <w:szCs w:val="24"/>
          <w:lang w:val="en-US"/>
        </w:rPr>
        <w:t>):</w:t>
      </w:r>
    </w:p>
    <w:p w14:paraId="2F64C39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sz w:val="24"/>
          <w:szCs w:val="24"/>
          <w:lang w:val="en-US"/>
        </w:rPr>
      </w:pPr>
      <w:r>
        <w:rPr>
          <w:sz w:val="24"/>
          <w:szCs w:val="24"/>
          <w:lang w:val="en-US"/>
        </w:rPr>
        <w:t>"诉微信支付案"编号"(2025)粤0391民初8980号"；</w:t>
      </w:r>
      <w:r>
        <w:rPr>
          <w:sz w:val="24"/>
          <w:szCs w:val="24"/>
        </w:rPr>
        <w:drawing>
          <wp:anchor distT="0" distB="0" distL="0" distR="0" simplePos="false" relativeHeight="3" behindDoc="false" locked="false" layoutInCell="true" allowOverlap="true">
            <wp:simplePos x="0" y="0"/>
            <wp:positionH relativeFrom="page">
              <wp:posOffset>6280512</wp:posOffset>
            </wp:positionH>
            <wp:positionV relativeFrom="page">
              <wp:posOffset>10735067</wp:posOffset>
            </wp:positionV>
            <wp:extent cx="404780" cy="719332"/>
            <wp:effectExtent l="0" t="0" r="0" b="0"/>
            <wp:wrapNone/>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20340000">
                      <a:off x="0" y="0"/>
                      <a:ext cx="404780" cy="719332"/>
                    </a:xfrm>
                    <a:prstGeom prst="rect"/>
                  </pic:spPr>
                </pic:pic>
              </a:graphicData>
            </a:graphic>
          </wp:anchor>
        </w:drawing>
      </w:r>
    </w:p>
    <w:p w14:paraId="3082C509">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仿宋_GB2312" w:cs="仿宋_GB2312" w:eastAsia="仿宋_GB2312" w:hAnsi="仿宋_GB2312" w:hint="eastAsia"/>
          <w:b/>
          <w:bCs/>
          <w:sz w:val="24"/>
          <w:szCs w:val="24"/>
          <w:lang w:val="en-US" w:eastAsia="zh-CN"/>
        </w:rPr>
      </w:pPr>
      <w:r>
        <w:rPr>
          <w:sz w:val="24"/>
          <w:szCs w:val="24"/>
          <w:lang w:val="en-US"/>
        </w:rPr>
        <w:t>"诉淘宝案"编号"(2025)浙0192民初15597号"。</w:t>
      </w:r>
    </w:p>
    <w:p w14:paraId="092E8B5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仿宋_GB2312" w:cs="仿宋_GB2312" w:eastAsia="仿宋_GB2312" w:hAnsi="仿宋_GB2312" w:hint="eastAsia"/>
          <w:b/>
          <w:bCs/>
          <w:sz w:val="24"/>
          <w:szCs w:val="24"/>
          <w:lang w:val="en-US" w:eastAsia="zh-CN"/>
        </w:rPr>
      </w:pPr>
      <w:r>
        <w:rPr>
          <w:rFonts w:ascii="仿宋_GB2312" w:cs="仿宋_GB2312" w:eastAsia="仿宋_GB2312" w:hAnsi="仿宋_GB2312" w:hint="eastAsia"/>
          <w:b/>
          <w:bCs/>
          <w:sz w:val="24"/>
          <w:szCs w:val="24"/>
          <w:lang w:val="en-US" w:eastAsia="zh-CN"/>
        </w:rPr>
        <w:t>此致</w:t>
      </w:r>
      <w:r>
        <w:rPr>
          <w:sz w:val="24"/>
          <w:szCs w:val="24"/>
        </w:rPr>
        <w:drawing>
          <wp:anchor distT="0" distB="0" distL="0" distR="0" simplePos="false" relativeHeight="2" behindDoc="false" locked="false" layoutInCell="true" allowOverlap="true">
            <wp:simplePos x="0" y="0"/>
            <wp:positionH relativeFrom="page">
              <wp:posOffset>5776776</wp:posOffset>
            </wp:positionH>
            <wp:positionV relativeFrom="page">
              <wp:posOffset>10997049</wp:posOffset>
            </wp:positionV>
            <wp:extent cx="603908" cy="545717"/>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603908" cy="545717"/>
                    </a:xfrm>
                    <a:prstGeom prst="rect"/>
                  </pic:spPr>
                </pic:pic>
              </a:graphicData>
            </a:graphic>
          </wp:anchor>
        </w:drawing>
      </w:r>
    </w:p>
    <w:p w14:paraId="2583AE8A">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420" w:leftChars="0"/>
        <w:jc w:val="both"/>
        <w:textAlignment w:val="auto"/>
        <w:outlineLvl w:val="9"/>
        <w:rPr>
          <w:rFonts w:ascii="仿宋_GB2312" w:cs="仿宋_GB2312" w:eastAsia="仿宋_GB2312" w:hAnsi="仿宋_GB2312" w:hint="eastAsia"/>
          <w:sz w:val="24"/>
          <w:szCs w:val="24"/>
          <w:u w:val="none"/>
          <w:lang w:val="en-US" w:eastAsia="zh-CN"/>
        </w:rPr>
      </w:pPr>
      <w:r>
        <w:rPr>
          <w:rFonts w:ascii="仿宋_GB2312" w:cs="仿宋_GB2312" w:eastAsia="仿宋_GB2312" w:hAnsi="仿宋_GB2312" w:hint="default"/>
          <w:sz w:val="24"/>
          <w:szCs w:val="24"/>
          <w:u w:val="none"/>
          <w:lang w:val="en-US" w:eastAsia="zh-CN"/>
        </w:rPr>
        <w:t>北京市高级人民法院</w:t>
      </w:r>
    </w:p>
    <w:p w14:paraId="76E6D6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5250" w:leftChars="0"/>
        <w:jc w:val="both"/>
        <w:textAlignment w:val="auto"/>
        <w:outlineLvl w:val="9"/>
        <w:rPr>
          <w:rFonts w:ascii="仿宋_GB2312" w:cs="仿宋_GB2312" w:eastAsia="仿宋_GB2312" w:hAnsi="仿宋_GB2312" w:hint="eastAsia"/>
          <w:sz w:val="24"/>
          <w:szCs w:val="24"/>
          <w:u w:val="single"/>
          <w:lang w:val="en-US" w:eastAsia="zh-CN"/>
        </w:rPr>
      </w:pPr>
      <w:r>
        <w:rPr>
          <w:rFonts w:ascii="仿宋_GB2312" w:cs="仿宋_GB2312" w:eastAsia="仿宋_GB2312" w:hAnsi="仿宋_GB2312" w:hint="default"/>
          <w:sz w:val="24"/>
          <w:szCs w:val="24"/>
          <w:u w:val="none"/>
          <w:lang w:val="en-US" w:eastAsia="zh-CN"/>
        </w:rPr>
        <w:t>起诉</w:t>
      </w:r>
      <w:r>
        <w:rPr>
          <w:rFonts w:ascii="仿宋_GB2312" w:cs="仿宋_GB2312" w:eastAsia="仿宋_GB2312" w:hAnsi="仿宋_GB2312" w:hint="eastAsia"/>
          <w:sz w:val="24"/>
          <w:szCs w:val="24"/>
          <w:u w:val="none"/>
          <w:lang w:val="en-US" w:eastAsia="zh-CN"/>
        </w:rPr>
        <w:t>人（签名或盖章）：</w:t>
      </w:r>
      <w:r>
        <w:rPr>
          <w:rFonts w:ascii="仿宋_GB2312" w:cs="仿宋_GB2312" w:eastAsia="仿宋_GB2312" w:hAnsi="仿宋_GB2312" w:hint="eastAsia"/>
          <w:sz w:val="24"/>
          <w:szCs w:val="24"/>
          <w:u w:val="single"/>
          <w:lang w:val="en-US" w:eastAsia="zh-CN"/>
        </w:rPr>
        <w:t xml:space="preserve">        </w:t>
      </w:r>
    </w:p>
    <w:p w14:paraId="4CEB85A1">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1050" w:leftChars="0" w:firstLine="640" w:firstLineChars="200"/>
        <w:jc w:val="both"/>
        <w:textAlignment w:val="auto"/>
        <w:outlineLvl w:val="9"/>
        <w:rPr>
          <w:rFonts w:ascii="仿宋_GB2312" w:cs="仿宋_GB2312" w:eastAsia="仿宋_GB2312" w:hAnsi="仿宋_GB2312" w:hint="default"/>
          <w:b/>
          <w:bCs/>
          <w:sz w:val="24"/>
          <w:szCs w:val="24"/>
          <w:u w:val="single"/>
          <w:lang w:val="en-US" w:eastAsia="zh-CN"/>
        </w:rPr>
      </w:pPr>
      <w:r>
        <w:rPr>
          <w:rFonts w:ascii="仿宋_GB2312" w:cs="仿宋_GB2312" w:eastAsia="仿宋_GB2312" w:hAnsi="仿宋_GB2312" w:hint="eastAsia"/>
          <w:sz w:val="24"/>
          <w:szCs w:val="24"/>
          <w:u w:val="none"/>
          <w:lang w:val="en-US" w:eastAsia="zh-CN"/>
        </w:rPr>
        <w:t xml:space="preserve">                                 </w:t>
      </w:r>
      <w:r>
        <w:rPr>
          <w:rFonts w:ascii="仿宋_GB2312" w:cs="仿宋_GB2312" w:eastAsia="仿宋_GB2312" w:hAnsi="仿宋_GB2312" w:hint="default"/>
          <w:sz w:val="24"/>
          <w:szCs w:val="24"/>
          <w:u w:val="none"/>
          <w:lang w:val="en-US" w:eastAsia="zh-CN"/>
        </w:rPr>
        <w:t xml:space="preserve">        </w:t>
      </w:r>
      <w:r>
        <w:rPr>
          <w:rFonts w:ascii="仿宋_GB2312" w:cs="仿宋_GB2312" w:eastAsia="仿宋_GB2312" w:hAnsi="仿宋_GB2312" w:hint="default"/>
          <w:sz w:val="24"/>
          <w:szCs w:val="24"/>
          <w:u w:val="single"/>
          <w:lang w:val="en-US" w:eastAsia="zh-CN"/>
        </w:rPr>
        <w:t>2025</w:t>
      </w:r>
      <w:r>
        <w:rPr>
          <w:rFonts w:ascii="仿宋_GB2312" w:cs="仿宋_GB2312" w:eastAsia="仿宋_GB2312" w:hAnsi="仿宋_GB2312" w:hint="eastAsia"/>
          <w:sz w:val="24"/>
          <w:szCs w:val="24"/>
          <w:u w:val="none"/>
          <w:lang w:val="en-US" w:eastAsia="zh-CN"/>
        </w:rPr>
        <w:t>年</w:t>
      </w:r>
      <w:r>
        <w:rPr>
          <w:rFonts w:ascii="仿宋_GB2312" w:cs="仿宋_GB2312" w:eastAsia="仿宋_GB2312" w:hAnsi="仿宋_GB2312" w:hint="default"/>
          <w:sz w:val="24"/>
          <w:szCs w:val="24"/>
          <w:u w:val="single"/>
          <w:lang w:val="en-US" w:eastAsia="zh-CN"/>
        </w:rPr>
        <w:t>09</w:t>
      </w:r>
      <w:r>
        <w:rPr>
          <w:rFonts w:ascii="仿宋_GB2312" w:cs="仿宋_GB2312" w:eastAsia="仿宋_GB2312" w:hAnsi="仿宋_GB2312" w:hint="eastAsia"/>
          <w:sz w:val="24"/>
          <w:szCs w:val="24"/>
          <w:u w:val="none"/>
          <w:lang w:val="en-US" w:eastAsia="zh-CN"/>
        </w:rPr>
        <w:t>月</w:t>
      </w:r>
      <w:r>
        <w:rPr>
          <w:rFonts w:ascii="仿宋_GB2312" w:cs="仿宋_GB2312" w:eastAsia="仿宋_GB2312" w:hAnsi="仿宋_GB2312" w:hint="default"/>
          <w:sz w:val="24"/>
          <w:szCs w:val="24"/>
          <w:u w:val="single"/>
          <w:lang w:val="en-US" w:eastAsia="zh-CN"/>
        </w:rPr>
        <w:t>04</w:t>
      </w:r>
      <w:r>
        <w:rPr>
          <w:rFonts w:ascii="仿宋_GB2312" w:cs="仿宋_GB2312" w:eastAsia="仿宋_GB2312" w:hAnsi="仿宋_GB2312" w:hint="eastAsia"/>
          <w:sz w:val="24"/>
          <w:szCs w:val="24"/>
          <w:u w:val="none"/>
          <w:lang w:val="en-US" w:eastAsia="zh-CN"/>
        </w:rPr>
        <w:t xml:space="preserve">日 </w:t>
      </w:r>
    </w:p>
    <w:p w14:paraId="74F5BD2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center"/>
        <w:textAlignment w:val="auto"/>
        <w:rPr>
          <w:rFonts w:ascii="宋体" w:eastAsia="宋体"/>
        </w:rPr>
      </w:pPr>
      <w:r>
        <w:rPr>
          <w:rFonts w:ascii="宋体" w:cs="仿宋_GB2312" w:eastAsia="宋体" w:hAnsi="仿宋_GB2312" w:hint="default"/>
          <w:b w:val="false"/>
          <w:bCs w:val="false"/>
          <w:sz w:val="24"/>
          <w:szCs w:val="24"/>
          <w:lang w:val="en-US" w:eastAsia="zh-CN"/>
        </w:rPr>
        <w:t>...</w:t>
      </w:r>
    </w:p>
    <w:p w14:paraId="7474612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rFonts w:ascii="宋体" w:cs="仿宋_GB2312" w:eastAsia="宋体" w:hAnsi="仿宋_GB2312" w:hint="default"/>
          <w:b/>
          <w:bCs/>
          <w:sz w:val="32"/>
          <w:szCs w:val="32"/>
          <w:u w:val="single"/>
          <w:lang w:val="en-US" w:eastAsia="zh-CN"/>
        </w:rPr>
      </w:pPr>
      <w:r>
        <w:rPr>
          <w:rFonts w:ascii="宋体" w:cs="仿宋_GB2312" w:eastAsia="宋体" w:hAnsi="仿宋_GB2312" w:hint="default"/>
          <w:b/>
          <w:bCs/>
          <w:sz w:val="48"/>
          <w:szCs w:val="48"/>
          <w:u w:val="single"/>
          <w:lang w:val="en-US" w:eastAsia="zh-CN"/>
        </w:rPr>
        <w:t xml:space="preserve">        证据1. 微信支付交易记录         </w:t>
      </w:r>
    </w:p>
    <w:p w14:paraId="2A34FB1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rFonts w:ascii="宋体" w:eastAsia="宋体"/>
        </w:rPr>
        <w:drawing>
          <wp:anchor distT="0" distB="0" distL="0" distR="0" simplePos="false" relativeHeight="5" behindDoc="false" locked="false" layoutInCell="true" allowOverlap="true">
            <wp:simplePos x="0" y="0"/>
            <wp:positionH relativeFrom="page">
              <wp:posOffset>657688</wp:posOffset>
            </wp:positionH>
            <wp:positionV relativeFrom="page">
              <wp:posOffset>2074306</wp:posOffset>
            </wp:positionV>
            <wp:extent cx="2789410" cy="4102295"/>
            <wp:effectExtent l="0" t="0" r="0" b="0"/>
            <wp:wrapNone/>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11773" r="1" b="18565"/>
                    <a:stretch/>
                  </pic:blipFill>
                  <pic:spPr>
                    <a:xfrm rot="0">
                      <a:off x="0" y="0"/>
                      <a:ext cx="2789410" cy="4102295"/>
                    </a:xfrm>
                    <a:prstGeom prst="rect"/>
                  </pic:spPr>
                </pic:pic>
              </a:graphicData>
            </a:graphic>
          </wp:anchor>
        </w:drawing>
      </w:r>
      <w:r>
        <w:rPr/>
        <w:drawing>
          <wp:anchor distT="0" distB="0" distL="0" distR="0" simplePos="false" relativeHeight="4" behindDoc="false" locked="false" layoutInCell="true" allowOverlap="true">
            <wp:simplePos x="0" y="0"/>
            <wp:positionH relativeFrom="page">
              <wp:posOffset>3714454</wp:posOffset>
            </wp:positionH>
            <wp:positionV relativeFrom="page">
              <wp:posOffset>2050590</wp:posOffset>
            </wp:positionV>
            <wp:extent cx="2841211" cy="4022431"/>
            <wp:effectExtent l="0" t="0" r="0" b="0"/>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11338" r="0" b="24976"/>
                    <a:stretch/>
                  </pic:blipFill>
                  <pic:spPr>
                    <a:xfrm rot="0">
                      <a:off x="0" y="0"/>
                      <a:ext cx="2841211" cy="4022431"/>
                    </a:xfrm>
                    <a:prstGeom prst="rect"/>
                  </pic:spPr>
                </pic:pic>
              </a:graphicData>
            </a:graphic>
          </wp:anchor>
        </w:drawing>
      </w:r>
    </w:p>
    <w:p w14:paraId="1956FF8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p>
    <w:p w14:paraId="11B1DCF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83F545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6B1CDE10">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36BF1B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224DF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F9848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ABD95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157D4B3F">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8354534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left"/>
        <w:textAlignment w:val="auto"/>
        <w:rPr/>
      </w:pPr>
    </w:p>
    <w:p w14:paraId="83F4CC4A">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rFonts w:ascii="仿宋_GB2312" w:cs="仿宋_GB2312" w:eastAsia="仿宋_GB2312" w:hAnsi="仿宋_GB2312" w:hint="default"/>
          <w:b/>
          <w:bCs/>
          <w:sz w:val="48"/>
          <w:szCs w:val="48"/>
          <w:u w:val="single"/>
          <w:lang w:val="en-US" w:eastAsia="zh-CN"/>
        </w:rPr>
      </w:pPr>
    </w:p>
    <w:p w14:paraId="4957005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u w:val="single"/>
        </w:rPr>
      </w:pPr>
      <w:r>
        <w:rPr>
          <w:rFonts w:ascii="仿宋_GB2312" w:cs="仿宋_GB2312" w:eastAsia="仿宋_GB2312" w:hAnsi="仿宋_GB2312" w:hint="default"/>
          <w:b/>
          <w:bCs/>
          <w:sz w:val="48"/>
          <w:szCs w:val="48"/>
          <w:u w:val="single"/>
          <w:lang w:val="en-US" w:eastAsia="zh-CN"/>
        </w:rPr>
        <w:t>证据2.对比: 2018</w:t>
      </w:r>
      <w:r>
        <w:rPr>
          <w:rFonts w:ascii="仿宋_GB2312" w:cs="仿宋_GB2312" w:eastAsia="仿宋_GB2312" w:hAnsi="仿宋_GB2312" w:hint="default"/>
          <w:b/>
          <w:bCs/>
          <w:i w:val="false"/>
          <w:iCs w:val="false"/>
          <w:color w:val="auto"/>
          <w:kern w:val="2"/>
          <w:sz w:val="48"/>
          <w:szCs w:val="48"/>
          <w:highlight w:val="none"/>
          <w:u w:val="single"/>
          <w:vertAlign w:val="baseline"/>
          <w:em w:val="none"/>
          <w:lang w:val="en-US" w:bidi="ar-SA" w:eastAsia="zh-CN"/>
        </w:rPr>
        <w:t>旧</w:t>
      </w:r>
      <w:r>
        <w:rPr>
          <w:rFonts w:ascii="仿宋_GB2312" w:cs="仿宋_GB2312" w:eastAsia="仿宋_GB2312" w:hAnsi="仿宋_GB2312" w:hint="default"/>
          <w:b/>
          <w:bCs/>
          <w:sz w:val="48"/>
          <w:szCs w:val="48"/>
          <w:u w:val="single"/>
          <w:lang w:val="en-US" w:eastAsia="zh-CN"/>
        </w:rPr>
        <w:t>行标 与</w:t>
      </w:r>
      <w:r>
        <w:rPr>
          <w:b/>
          <w:bCs/>
          <w:sz w:val="24"/>
          <w:szCs w:val="32"/>
          <w:u w:val="single"/>
          <w:lang w:val="en-US"/>
        </w:rPr>
        <w:t xml:space="preserve"> </w:t>
      </w:r>
      <w:r>
        <w:rPr>
          <w:rFonts w:ascii="Calibri" w:cs="Times New Roman" w:eastAsia="宋体" w:hAnsi="Calibri" w:hint="default"/>
          <w:b/>
          <w:bCs/>
          <w:i w:val="false"/>
          <w:iCs w:val="false"/>
          <w:color w:val="auto"/>
          <w:kern w:val="2"/>
          <w:sz w:val="48"/>
          <w:szCs w:val="48"/>
          <w:highlight w:val="none"/>
          <w:u w:val="single"/>
          <w:vertAlign w:val="baseline"/>
          <w:em w:val="none"/>
          <w:lang w:val="en-US" w:bidi="ar-SA" w:eastAsia="zh-CN"/>
        </w:rPr>
        <w:t>2022新国标</w:t>
      </w:r>
    </w:p>
    <w:p w14:paraId="4EC8B2F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u w:val="single"/>
        </w:rPr>
      </w:pPr>
      <w:r>
        <w:rPr>
          <w:u w:val="single"/>
        </w:rPr>
        <w:drawing>
          <wp:anchor distT="0" distB="0" distL="0" distR="0" simplePos="false" relativeHeight="9" behindDoc="false" locked="false" layoutInCell="true" allowOverlap="true">
            <wp:simplePos x="0" y="0"/>
            <wp:positionH relativeFrom="page">
              <wp:posOffset>438445</wp:posOffset>
            </wp:positionH>
            <wp:positionV relativeFrom="page">
              <wp:posOffset>7289462</wp:posOffset>
            </wp:positionV>
            <wp:extent cx="2972618" cy="5248324"/>
            <wp:effectExtent l="0" t="0" r="0" b="0"/>
            <wp:wrapNone/>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5508" t="5083" r="15080" b="31843"/>
                    <a:stretch/>
                  </pic:blipFill>
                  <pic:spPr>
                    <a:xfrm rot="0">
                      <a:off x="0" y="0"/>
                      <a:ext cx="2972618" cy="5248324"/>
                    </a:xfrm>
                    <a:prstGeom prst="rect"/>
                  </pic:spPr>
                </pic:pic>
              </a:graphicData>
            </a:graphic>
          </wp:anchor>
        </w:drawing>
      </w:r>
      <w:r>
        <w:rPr>
          <w:b/>
          <w:bCs/>
          <w:sz w:val="24"/>
          <w:szCs w:val="32"/>
          <w:u w:val="single"/>
        </w:rPr>
        <w:drawing>
          <wp:anchor distT="0" distB="0" distL="0" distR="0" simplePos="false" relativeHeight="6" behindDoc="false" locked="false" layoutInCell="true" allowOverlap="true">
            <wp:simplePos x="0" y="0"/>
            <wp:positionH relativeFrom="page">
              <wp:posOffset>3736902</wp:posOffset>
            </wp:positionH>
            <wp:positionV relativeFrom="page">
              <wp:posOffset>7378293</wp:posOffset>
            </wp:positionV>
            <wp:extent cx="2947351" cy="5242266"/>
            <wp:effectExtent l="0" t="0" r="0" b="0"/>
            <wp:wrapNone/>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1774" t="2473" r="3673" b="29328"/>
                    <a:stretch/>
                  </pic:blipFill>
                  <pic:spPr>
                    <a:xfrm rot="0">
                      <a:off x="0" y="0"/>
                      <a:ext cx="2947351" cy="5242266"/>
                    </a:xfrm>
                    <a:prstGeom prst="rect"/>
                  </pic:spPr>
                </pic:pic>
              </a:graphicData>
            </a:graphic>
          </wp:anchor>
        </w:drawing>
      </w:r>
    </w:p>
    <w:p w14:paraId="2DF19F7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A35A3DD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D5E4C71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5ACEE6F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863D6AD1">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8E40F9A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0F5BB1F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D285C17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4E172F9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EFFF467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ADDB9F4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p>
    <w:p w14:paraId="C1DD34B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drawing>
          <wp:anchor distT="0" distB="0" distL="0" distR="0" simplePos="false" relativeHeight="8" behindDoc="false" locked="false" layoutInCell="true" allowOverlap="true">
            <wp:simplePos x="0" y="0"/>
            <wp:positionH relativeFrom="page">
              <wp:posOffset>819967</wp:posOffset>
            </wp:positionH>
            <wp:positionV relativeFrom="page">
              <wp:posOffset>1612905</wp:posOffset>
            </wp:positionV>
            <wp:extent cx="6016266" cy="4339553"/>
            <wp:effectExtent l="0" t="0" r="0" b="0"/>
            <wp:wrapNone/>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5487" t="4016" r="4748" b="4803"/>
                    <a:stretch/>
                  </pic:blipFill>
                  <pic:spPr>
                    <a:xfrm rot="0">
                      <a:off x="0" y="0"/>
                      <a:ext cx="6016266" cy="4339553"/>
                    </a:xfrm>
                    <a:prstGeom prst="rect"/>
                  </pic:spPr>
                </pic:pic>
              </a:graphicData>
            </a:graphic>
          </wp:anchor>
        </w:drawing>
      </w:r>
      <w:r>
        <w:rPr>
          <w:sz w:val="28"/>
          <w:szCs w:val="36"/>
        </w:rPr>
        <w:drawing>
          <wp:anchor distT="0" distB="0" distL="0" distR="0" simplePos="false" relativeHeight="7" behindDoc="false" locked="false" layoutInCell="true" allowOverlap="true">
            <wp:simplePos x="0" y="0"/>
            <wp:positionH relativeFrom="page">
              <wp:posOffset>1763395</wp:posOffset>
            </wp:positionH>
            <wp:positionV relativeFrom="page">
              <wp:posOffset>5304790</wp:posOffset>
            </wp:positionV>
            <wp:extent cx="4228359" cy="6011051"/>
            <wp:effectExtent l="0" t="0" r="0" b="0"/>
            <wp:wrapNone/>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16200000">
                      <a:off x="0" y="0"/>
                      <a:ext cx="4228359" cy="6011051"/>
                    </a:xfrm>
                    <a:prstGeom prst="rect"/>
                  </pic:spPr>
                </pic:pic>
              </a:graphicData>
            </a:graphic>
          </wp:anchor>
        </w:drawing>
      </w:r>
      <w:r>
        <w:rPr>
          <w:b/>
          <w:bCs/>
          <w:sz w:val="48"/>
          <w:szCs w:val="48"/>
          <w:u w:val="single"/>
          <w:lang w:val="en-US"/>
        </w:rPr>
        <w:t>证据3. 财付通资格认证许可</w:t>
      </w:r>
    </w:p>
    <w:sectPr>
      <w:headerReference w:type="default" r:id="rId10"/>
      <w:footerReference w:type="default" r:id="rId11"/>
      <w:type w:val="continuous"/>
      <w:pgSz w:w="12240" w:h="20160" w:orient="portrait"/>
      <w:pgMar w:top="1814" w:right="1474" w:bottom="1757" w:left="1474" w:header="850" w:footer="992" w:gutter="0"/>
      <w:pgNumType w:fmt="decimal" w:start="1"/>
      <w:cols w:space="720" w:num="1"/>
      <w:rtlGutter w:val="false"/>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20007A87" w:usb1="80000000" w:usb2="00000008" w:usb3="00000000" w:csb0="000001FF" w:csb1="00000000"/>
  </w:font>
  <w:font w:name="宋体">
    <w:altName w:val="宋体"/>
    <w:panose1 w:val="02010600030000010101"/>
    <w:charset w:val="86"/>
    <w:family w:val="auto"/>
    <w:pitch w:val="default"/>
    <w:sig w:usb0="000002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0020204"/>
    <w:charset w:val="01"/>
    <w:family w:val="swiss"/>
    <w:pitch w:val="default"/>
    <w:sig w:usb0="E0002EFF" w:usb1="C000785B" w:usb2="00000009" w:usb3="00000000" w:csb0="400001FF" w:csb1="FFFF0000"/>
  </w:font>
  <w:font w:name="黑体">
    <w:altName w:val="黑体"/>
    <w:panose1 w:val="02010609060000010101"/>
    <w:charset w:val="86"/>
    <w:family w:val="auto"/>
    <w:pitch w:val="default"/>
    <w:sig w:usb0="800002BF" w:usb1="38CF7CFA" w:usb2="00000016" w:usb3="00000000" w:csb0="00040001" w:csb1="00000000"/>
  </w:font>
  <w:font w:name="Courier New">
    <w:altName w:val="Courier New"/>
    <w:panose1 w:val="02070309020000020404"/>
    <w:charset w:val="01"/>
    <w:family w:val="modern"/>
    <w:pitch w:val="default"/>
    <w:sig w:usb0="E0002EFF" w:usb1="C0007843" w:usb2="00000009" w:usb3="00000000" w:csb0="400001FF" w:csb1="FFFF0000"/>
  </w:font>
  <w:font w:name="Symbol">
    <w:altName w:val="Symbol"/>
    <w:panose1 w:val="05050102010000020507"/>
    <w:charset w:val="02"/>
    <w:family w:val="roman"/>
    <w:pitch w:val="default"/>
    <w:sig w:usb0="00000000" w:usb1="00000000" w:usb2="00000000" w:usb3="00000000" w:csb0="80000000" w:csb1="00000000"/>
  </w:font>
  <w:font w:name="Calibri">
    <w:altName w:val="Calibri"/>
    <w:panose1 w:val="020f0502020000030204"/>
    <w:charset w:val="00"/>
    <w:family w:val="swiss"/>
    <w:pitch w:val="default"/>
    <w:sig w:usb0="E4002EFF" w:usb1="C000247B" w:usb2="00000009" w:usb3="00000000" w:csb0="200001FF" w:csb1="00000000"/>
  </w:font>
  <w:font w:name="方正小标宋简体">
    <w:altName w:val="方正小标宋简体"/>
    <w:panose1 w:val="02010601030000010101"/>
    <w:charset w:val="86"/>
    <w:family w:val="auto"/>
    <w:pitch w:val="default"/>
    <w:sig w:usb0="00000001" w:usb1="080E0000" w:usb2="00000000" w:usb3="00000000" w:csb0="00040000" w:csb1="00000000"/>
  </w:font>
  <w:font w:name="仿宋_GB2312">
    <w:altName w:val="仿宋"/>
    <w:panose1 w:val="02010609030000010101"/>
    <w:charset w:val="86"/>
    <w:family w:val="modern"/>
    <w:pitch w:val="default"/>
    <w:sig w:usb0="00000001" w:usb1="080E0000" w:usb2="00000000" w:usb3="00000000" w:csb0="00040000" w:csb1="00000000"/>
  </w:font>
  <w:font w:name="楷体_GB2312">
    <w:altName w:val="楷体"/>
    <w:panose1 w:val="02010609030000010101"/>
    <w:charset w:val="86"/>
    <w:family w:val="auto"/>
    <w:pitch w:val="default"/>
    <w:sig w:usb0="00000001" w:usb1="080E0000" w:usb2="00000000" w:usb3="00000000" w:csb0="00040000" w:csb1="00000000"/>
  </w:font>
  <w:font w:name="方正小标宋_GBK">
    <w:altName w:val="方正小标宋_GBK"/>
    <w:panose1 w:val="02000000000000000000"/>
    <w:charset w:val="86"/>
    <w:family w:val="auto"/>
    <w:pitch w:val="default"/>
    <w:sig w:usb0="00000001" w:usb1="080E0000" w:usb2="00000000" w:usb3="00000000" w:csb0="00040000" w:csb1="00000000"/>
  </w:font>
  <w:font w:name="方正楷体_GBK">
    <w:altName w:val="方正楷体_GBK"/>
    <w:panose1 w:val="03000509000000000000"/>
    <w:charset w:val="86"/>
    <w:family w:val="auto"/>
    <w:pitch w:val="default"/>
    <w:sig w:usb0="00000001" w:usb1="080E0000" w:usb2="00000000" w:usb3="00000000" w:csb0="00040000" w:csb1="00000000"/>
  </w:font>
  <w:font w:name="方正黑体_GBK">
    <w:altName w:val="方正黑体_GBK"/>
    <w:panose1 w:val="03000509000000000000"/>
    <w:charset w:val="86"/>
    <w:family w:val="script"/>
    <w:pitch w:val="default"/>
    <w:sig w:usb0="00000001" w:usb1="080E0000" w:usb2="00000000" w:usb3="00000000" w:csb0="00040000" w:csb1="00000000"/>
  </w:font>
  <w:font w:name="仿宋">
    <w:altName w:val="仿宋"/>
    <w:panose1 w:val="02010609060000010101"/>
    <w:charset w:val="86"/>
    <w:family w:val="auto"/>
    <w:pitch w:val="default"/>
    <w:sig w:usb0="800002BF" w:usb1="38CF7CFA" w:usb2="00000016" w:usb3="00000000" w:csb0="00040001" w:csb1="00000000"/>
  </w:font>
  <w:font w:name="长城小标宋体">
    <w:altName w:val="方正小标宋_GBK"/>
    <w:panose1 w:val="00000000000000000000"/>
    <w:charset w:val="86"/>
    <w:family w:val="auto"/>
    <w:pitch w:val="default"/>
    <w:sig w:usb0="00000000" w:usb1="00000000" w:usb2="00000010" w:usb3="00000000" w:csb0="00040000" w:csb1="00000000"/>
  </w:font>
  <w:font w:name="华文中宋">
    <w:altName w:val="宋体"/>
    <w:panose1 w:val="02010600040000010101"/>
    <w:charset w:val="00"/>
    <w:family w:val="auto"/>
    <w:pitch w:val="default"/>
    <w:sig w:usb0="00000000" w:usb1="00000000" w:usb2="00000000" w:usb3="00000000" w:csb0="0004009F" w:csb1="DFD70000"/>
  </w:font>
  <w:font w:name="楷体">
    <w:altName w:val="楷体"/>
    <w:panose1 w:val="02010609060000010101"/>
    <w:charset w:val="86"/>
    <w:family w:val="auto"/>
    <w:pitch w:val="default"/>
    <w:sig w:usb0="800002BF" w:usb1="38CF7CFA" w:usb2="00000016" w:usb3="00000000" w:csb0="00040001" w:csb1="00000000"/>
  </w:font>
  <w:font w:name="Microsoft YaHei">
    <w:altName w:val="Times New Roman"/>
    <w:panose1 w:val="02020603050000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610CA588">
    <w:pPr>
      <w:pStyle w:val="style31"/>
      <w:jc w:val="left"/>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00666282">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ECB9E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000001"/>
    <w:multiLevelType w:val="hybridMultilevel"/>
    <w:tmpl w:val="E482855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000002"/>
    <w:multiLevelType w:val="hybridMultilevel"/>
    <w:tmpl w:val="22DD6A06"/>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000003"/>
    <w:multiLevelType w:val="hybridMultilevel"/>
    <w:tmpl w:val="82C1D068"/>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0000004"/>
    <w:multiLevelType w:val="hybridMultilevel"/>
    <w:tmpl w:val="A3CA0DB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000005"/>
    <w:multiLevelType w:val="hybridMultilevel"/>
    <w:tmpl w:val="CF22D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0000006"/>
    <w:multiLevelType w:val="hybridMultilevel"/>
    <w:tmpl w:val="1382A0F7"/>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0000007"/>
    <w:multiLevelType w:val="hybridMultilevel"/>
    <w:tmpl w:val="351013FE"/>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0000008"/>
    <w:multiLevelType w:val="hybridMultilevel"/>
    <w:tmpl w:val="443BAFD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0000009"/>
    <w:multiLevelType w:val="hybridMultilevel"/>
    <w:tmpl w:val="72CE2363"/>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0000000A"/>
    <w:multiLevelType w:val="hybridMultilevel"/>
    <w:tmpl w:val="604DF69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000000B"/>
    <w:multiLevelType w:val="hybridMultilevel"/>
    <w:tmpl w:val="7941C837"/>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000000C"/>
    <w:multiLevelType w:val="hybridMultilevel"/>
    <w:tmpl w:val="1207A5CD"/>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000000D"/>
    <w:multiLevelType w:val="hybridMultilevel"/>
    <w:tmpl w:val="91C0F3B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000000E"/>
    <w:multiLevelType w:val="hybridMultilevel"/>
    <w:tmpl w:val="8BA55E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000000F"/>
    <w:multiLevelType w:val="hybridMultilevel"/>
    <w:tmpl w:val="8438030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0000010"/>
    <w:multiLevelType w:val="hybridMultilevel"/>
    <w:tmpl w:val="F61B40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0000011"/>
    <w:multiLevelType w:val="hybridMultilevel"/>
    <w:tmpl w:val="14FCBA7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0000012"/>
    <w:multiLevelType w:val="hybridMultilevel"/>
    <w:tmpl w:val="D0F6D823"/>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nsid w:val="00000013"/>
    <w:multiLevelType w:val="hybridMultilevel"/>
    <w:tmpl w:val="641870C9"/>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
    <w:nsid w:val="00000014"/>
    <w:multiLevelType w:val="hybridMultilevel"/>
    <w:tmpl w:val="5C998BBF"/>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0000015"/>
    <w:multiLevelType w:val="hybridMultilevel"/>
    <w:tmpl w:val="055759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0000016"/>
    <w:multiLevelType w:val="hybridMultilevel"/>
    <w:tmpl w:val="7BCF3FD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0000017"/>
    <w:multiLevelType w:val="hybridMultilevel"/>
    <w:tmpl w:val="E1E8D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0000018"/>
    <w:multiLevelType w:val="hybridMultilevel"/>
    <w:tmpl w:val="BB4D441B"/>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0000019"/>
    <w:multiLevelType w:val="hybridMultilevel"/>
    <w:tmpl w:val="633FBCC3"/>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000001A"/>
    <w:multiLevelType w:val="hybridMultilevel"/>
    <w:tmpl w:val="20F4C409"/>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000001B"/>
    <w:multiLevelType w:val="hybridMultilevel"/>
    <w:tmpl w:val="DB681BBE"/>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000001C"/>
    <w:multiLevelType w:val="hybridMultilevel"/>
    <w:tmpl w:val="8D8971AC"/>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000001D"/>
    <w:multiLevelType w:val="hybridMultilevel"/>
    <w:tmpl w:val="73AB336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0000001E"/>
    <w:multiLevelType w:val="hybridMultilevel"/>
    <w:tmpl w:val="ADB77A77"/>
    <w:lvl w:ilvl="0" w:tplc="0409000F">
      <w:start w:val="2"/>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0000001F"/>
    <w:multiLevelType w:val="hybridMultilevel"/>
    <w:tmpl w:val="6D5D0C6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00000020"/>
    <w:multiLevelType w:val="hybridMultilevel"/>
    <w:tmpl w:val="BD14DB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0000021"/>
    <w:multiLevelType w:val="hybridMultilevel"/>
    <w:tmpl w:val="23EEB1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0000022"/>
    <w:multiLevelType w:val="hybridMultilevel"/>
    <w:tmpl w:val="D7153148"/>
    <w:lvl w:ilvl="0" w:tplc="0409000F">
      <w:start w:val="3"/>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0000023"/>
    <w:multiLevelType w:val="hybridMultilevel"/>
    <w:tmpl w:val="5917488A"/>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0"/>
  </w:num>
  <w:num w:numId="3">
    <w:abstractNumId w:val="1"/>
  </w:num>
  <w:num w:numId="4">
    <w:abstractNumId w:val="2"/>
  </w:num>
  <w:num w:numId="5">
    <w:abstractNumId w:val="3"/>
  </w:num>
  <w:num w:numId="6">
    <w:abstractNumId w:val="4"/>
  </w:num>
  <w:num w:numId="7">
    <w:abstractNumId w:val="4"/>
  </w:num>
  <w:num w:numId="8">
    <w:abstractNumId w:val="5"/>
  </w:num>
  <w:num w:numId="9">
    <w:abstractNumId w:val="6"/>
  </w:num>
  <w:num w:numId="10">
    <w:abstractNumId w:val="6"/>
  </w:num>
  <w:num w:numId="11">
    <w:abstractNumId w:val="7"/>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2"/>
  </w:num>
  <w:num w:numId="19">
    <w:abstractNumId w:val="13"/>
  </w:num>
  <w:num w:numId="20">
    <w:abstractNumId w:val="14"/>
  </w:num>
  <w:num w:numId="21">
    <w:abstractNumId w:val="15"/>
  </w:num>
  <w:num w:numId="22">
    <w:abstractNumId w:val="16"/>
  </w:num>
  <w:num w:numId="23">
    <w:abstractNumId w:val="16"/>
  </w:num>
  <w:num w:numId="24">
    <w:abstractNumId w:val="17"/>
  </w:num>
  <w:num w:numId="25">
    <w:abstractNumId w:val="17"/>
  </w:num>
  <w:num w:numId="26">
    <w:abstractNumId w:val="18"/>
  </w:num>
  <w:num w:numId="27">
    <w:abstractNumId w:val="18"/>
  </w:num>
  <w:num w:numId="28">
    <w:abstractNumId w:val="19"/>
  </w:num>
  <w:num w:numId="29">
    <w:abstractNumId w:val="20"/>
  </w:num>
  <w:num w:numId="30">
    <w:abstractNumId w:val="20"/>
  </w:num>
  <w:num w:numId="31">
    <w:abstractNumId w:val="21"/>
  </w:num>
  <w:num w:numId="32">
    <w:abstractNumId w:val="21"/>
  </w:num>
  <w:num w:numId="33">
    <w:abstractNumId w:val="22"/>
  </w:num>
  <w:num w:numId="34">
    <w:abstractNumId w:val="23"/>
  </w:num>
  <w:num w:numId="35">
    <w:abstractNumId w:val="23"/>
  </w:num>
  <w:num w:numId="36">
    <w:abstractNumId w:val="24"/>
  </w:num>
  <w:num w:numId="37">
    <w:abstractNumId w:val="24"/>
  </w:num>
  <w:num w:numId="38">
    <w:abstractNumId w:val="25"/>
  </w:num>
  <w:num w:numId="39">
    <w:abstractNumId w:val="25"/>
  </w:num>
  <w:num w:numId="40">
    <w:abstractNumId w:val="26"/>
  </w:num>
  <w:num w:numId="41">
    <w:abstractNumId w:val="27"/>
  </w:num>
  <w:num w:numId="42">
    <w:abstractNumId w:val="28"/>
  </w:num>
  <w:num w:numId="43">
    <w:abstractNumId w:val="29"/>
  </w:num>
  <w:num w:numId="44">
    <w:abstractNumId w:val="30"/>
  </w:num>
  <w:num w:numId="45">
    <w:abstractNumId w:val="30"/>
  </w:num>
  <w:num w:numId="46">
    <w:abstractNumId w:val="31"/>
  </w:num>
  <w:num w:numId="47">
    <w:abstractNumId w:val="31"/>
  </w:num>
  <w:num w:numId="48">
    <w:abstractNumId w:val="32"/>
  </w:num>
  <w:num w:numId="49">
    <w:abstractNumId w:val="33"/>
  </w:num>
  <w:num w:numId="50">
    <w:abstractNumId w:val="33"/>
  </w:num>
  <w:num w:numId="51">
    <w:abstractNumId w:val="34"/>
  </w:num>
  <w:num w:numId="52">
    <w:abstractNumId w:val="35"/>
  </w:num>
  <w:num w:numId="53">
    <w:abstractNumId w:val="3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2"/>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rPr>
    </w:rPrDefault>
    <w:pPrDefault>
      <w:pPr/>
    </w:pPrDefault>
  </w:docDefaults>
  <w:style w:type="paragraph" w:default="1" w:styleId="style0">
    <w:name w:val="Normal"/>
    <w:next w:val="style0"/>
    <w:qFormat/>
    <w:uiPriority w:val="0"/>
    <w:pPr>
      <w:widowControl w:val="false"/>
      <w:jc w:val="both"/>
    </w:pPr>
    <w:rPr>
      <w:rFonts w:ascii="Calibri" w:cs="Times New Roman" w:eastAsia="宋体" w:hAnsi="Calibri"/>
      <w:kern w:val="2"/>
      <w:sz w:val="21"/>
      <w:szCs w:val="24"/>
      <w:lang w:val="en-US" w:bidi="ar-SA" w:eastAsia="zh-CN"/>
    </w:rPr>
  </w:style>
  <w:style w:type="character" w:default="1" w:styleId="style65">
    <w:name w:val="Default Paragraph Font"/>
    <w:next w:val="style65"/>
    <w:uiPriority w:val="0"/>
  </w:style>
  <w:style w:type="table" w:default="1" w:styleId="style105">
    <w:name w:val="Normal Table"/>
    <w:next w:val="style105"/>
    <w:uiPriority w:val="0"/>
    <w:pPr/>
    <w:rPr/>
    <w:tblPr>
      <w:tblCellMar>
        <w:top w:w="0" w:type="dxa"/>
        <w:left w:w="108" w:type="dxa"/>
        <w:bottom w:w="0" w:type="dxa"/>
        <w:right w:w="108" w:type="dxa"/>
      </w:tblCellMar>
    </w:tblPr>
    <w:tcPr>
      <w:tcBorders/>
    </w:tcPr>
  </w:style>
  <w:style w:type="paragraph" w:styleId="style66">
    <w:name w:val="Body Text"/>
    <w:basedOn w:val="style0"/>
    <w:next w:val="style66"/>
    <w:qFormat/>
    <w:uiPriority w:val="0"/>
    <w:pPr>
      <w:widowControl w:val="false"/>
      <w:jc w:val="both"/>
    </w:pPr>
    <w:rPr>
      <w:rFonts w:ascii="Calibri" w:cs="Times New Roman" w:eastAsia="宋体" w:hAnsi="Calibri"/>
      <w:kern w:val="2"/>
      <w:sz w:val="21"/>
      <w:szCs w:val="24"/>
      <w:lang w:val="en-US" w:bidi="ar-SA" w:eastAsia="zh-CN"/>
    </w:rPr>
  </w:style>
  <w:style w:type="paragraph" w:styleId="style32">
    <w:name w:val="footer"/>
    <w:basedOn w:val="style0"/>
    <w:next w:val="style32"/>
    <w:uiPriority w:val="0"/>
    <w:pPr>
      <w:tabs>
        <w:tab w:val="center" w:leader="none" w:pos="4153"/>
        <w:tab w:val="right" w:leader="none" w:pos="8306"/>
      </w:tabs>
      <w:snapToGrid w:val="false"/>
      <w:jc w:val="left"/>
    </w:pPr>
    <w:rPr>
      <w:sz w:val="18"/>
    </w:rPr>
  </w:style>
  <w:style w:type="paragraph" w:styleId="style31">
    <w:name w:val="header"/>
    <w:basedOn w:val="style0"/>
    <w:next w:val="style31"/>
    <w:uiPriority w:val="0"/>
    <w:pPr>
      <w:pBdr>
        <w:left w:val="none" w:sz="0" w:space="4" w:color="auto"/>
        <w:right w:val="none" w:sz="0" w:space="4" w:color="auto"/>
        <w:top w:val="none" w:sz="0" w:space="1" w:color="auto"/>
        <w:bottom w:val="none" w:sz="0" w:space="1" w:color="auto"/>
      </w:pBdr>
      <w:tabs>
        <w:tab w:val="center" w:leader="none" w:pos="4153"/>
        <w:tab w:val="right" w:leader="none" w:pos="8306"/>
      </w:tabs>
      <w:snapToGrid w:val="false"/>
      <w:spacing w:lineRule="auto" w:line="240"/>
      <w:jc w:val="both"/>
      <w:outlineLvl w:val="9"/>
    </w:pPr>
    <w:rPr>
      <w:sz w:val="18"/>
    </w:rPr>
  </w:style>
  <w:style w:type="paragraph" w:styleId="style179">
    <w:name w:val="List Paragraph"/>
    <w:basedOn w:val="style0"/>
    <w:next w:val="style179"/>
    <w:qFormat/>
    <w:pPr>
      <w:kinsoku w:val="false"/>
      <w:autoSpaceDE w:val="false"/>
      <w:autoSpaceDN w:val="false"/>
      <w:adjustRightInd w:val="false"/>
      <w:spacing w:after="0" w:lineRule="auto" w:line="240"/>
      <w:ind w:firstLine="420" w:firstLineChars="200"/>
      <w:jc w:val="left"/>
    </w:pPr>
    <w:rPr>
      <w:rFonts w:ascii="Times New Roman" w:cs="Times New Roman" w:eastAsia="宋体" w:hAnsi="Times New Roman"/>
      <w:noProof/>
      <w:snapToGrid w:val="false"/>
      <w:color w:val="000000"/>
      <w:kern w:val="0"/>
      <w:sz w:val="21"/>
    </w:rPr>
  </w:style>
  <w:style w:type="character" w:styleId="style85">
    <w:name w:val="Hyperlink"/>
    <w:basedOn w:val="style65"/>
    <w:next w:val="style85"/>
    <w:rPr>
      <w:rFonts w:ascii="Times New Roman" w:cs="Times New Roman" w:eastAsia="宋体" w:hAnsi="Times New Roman"/>
      <w:color w:val="0000ff"/>
      <w:sz w:val="21"/>
      <w:u w:val="single"/>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11" Type="http://schemas.openxmlformats.org/officeDocument/2006/relationships/footer" Target="footer2.xml"/><Relationship Id="rId10" Type="http://schemas.openxmlformats.org/officeDocument/2006/relationships/header" Target="header1.xml"/><Relationship Id="rId13" Type="http://schemas.openxmlformats.org/officeDocument/2006/relationships/fontTable" Target="fontTable.xml"/><Relationship Id="rId12"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4.png"/><Relationship Id="rId15" Type="http://schemas.openxmlformats.org/officeDocument/2006/relationships/theme" Target="theme/theme1.xml"/><Relationship Id="rId14" Type="http://schemas.openxmlformats.org/officeDocument/2006/relationships/settings" Target="settings.xml"/><Relationship Id="rId16" Type="http://schemas.openxmlformats.org/officeDocument/2006/relationships/customXml" Target="../customXml/item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Words>2837</Words>
  <Pages>30</Pages>
  <Characters>3368</Characters>
  <Application>WPS Office</Application>
  <DocSecurity>0</DocSecurity>
  <Paragraphs>126</Paragraphs>
  <ScaleCrop>false</ScaleCrop>
  <LinksUpToDate>false</LinksUpToDate>
  <CharactersWithSpaces>3611</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2014-11-07T20:08:00Z</dcterms:created>
  <dc:creator>Administrator</dc:creator>
  <lastModifiedBy>2312DRA50C</lastModifiedBy>
  <lastPrinted>2025-06-01T09:30:57Z</lastPrinted>
  <dcterms:modified xsi:type="dcterms:W3CDTF">2025-09-13T11:56:57Z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baaf80ccc73f470aaca048c8fb8589e9_23</vt:lpwstr>
  </property>
</Properties>
</file>